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Standard Operating Procedure</w:t>
      </w:r>
    </w:p>
    <w:p>
      <w:pPr>
        <w:pStyle w:val="Subtitle"/>
      </w:pPr>
      <w:r>
        <w:t xml:space="preserve">Process a supplier invoice for payment</w:t>
      </w:r>
    </w:p>
    <w:p>
      <w:pPr>
        <w:pStyle w:val="Banner"/>
      </w:pPr>
      <w:r>
        <w:t xml:space="preserve">Filled-in example. The company, names, limits and dates are invented to show the level of detail each section needs.</w:t>
      </w:r>
    </w:p>
    <w:tbl>
      <w:tblPr>
        <w:tblStyle w:val="SopTable"/>
        <w:tblW w:w="10080" w:type="dxa"/>
        <w:tblBorders>
          <w:top w:val="single" w:sz="4" w:space="0" w:color="C9C5EA"/>
          <w:left w:val="single" w:sz="4" w:space="0" w:color="C9C5EA"/>
          <w:bottom w:val="single" w:sz="4" w:space="0" w:color="C9C5EA"/>
          <w:right w:val="single" w:sz="4" w:space="0" w:color="C9C5EA"/>
          <w:insideH w:val="single" w:sz="4" w:space="0" w:color="C9C5EA"/>
          <w:insideV w:val="single" w:sz="4" w:space="0" w:color="C9C5EA"/>
        </w:tblBorders>
        <w:tblLayout w:type="fixed"/>
        <w:tblCellMar>
          <w:top w:w="60" w:type="dxa"/>
          <w:left w:w="100" w:type="dxa"/>
          <w:bottom w:w="60" w:type="dxa"/>
          <w:right w:w="100" w:type="dxa"/>
        </w:tblCellMar>
        <w:tblLook w:val="04A0" w:firstRow="1" w:lastRow="0" w:firstColumn="0" w:lastColumn="0" w:noHBand="1" w:noVBand="1"/>
      </w:tblPr>
      <w:tblGrid>
        <w:gridCol w:w="1714"/>
        <w:gridCol w:w="3326"/>
        <w:gridCol w:w="1714"/>
        <w:gridCol w:w="3326"/>
      </w:tblGrid>
      <w:tr>
        <w:tc>
          <w:tcPr>
            <w:tcW w:w="1714" w:type="dxa"/>
            <w:shd w:val="clear" w:color="auto" w:fill="F6F5FD"/>
          </w:tcPr>
          <w:p>
            <w:pPr>
              <w:pStyle w:val="TableText"/>
            </w:pPr>
            <w:r>
              <w:rPr>
                <w:b/>
              </w:rPr>
              <w:t xml:space="preserve">SOP number</w:t>
            </w:r>
          </w:p>
        </w:tc>
        <w:tc>
          <w:tcPr>
            <w:tcW w:w="3326" w:type="dxa"/>
          </w:tcPr>
          <w:p>
            <w:pPr>
              <w:pStyle w:val="TableText"/>
            </w:pPr>
            <w:r>
              <w:t xml:space="preserve">SOP-FIN-004</w:t>
            </w:r>
          </w:p>
        </w:tc>
        <w:tc>
          <w:tcPr>
            <w:tcW w:w="1714" w:type="dxa"/>
            <w:shd w:val="clear" w:color="auto" w:fill="F6F5FD"/>
          </w:tcPr>
          <w:p>
            <w:pPr>
              <w:pStyle w:val="TableText"/>
            </w:pPr>
            <w:r>
              <w:rPr>
                <w:b/>
              </w:rPr>
              <w:t xml:space="preserve">Version</w:t>
            </w:r>
          </w:p>
        </w:tc>
        <w:tc>
          <w:tcPr>
            <w:tcW w:w="3326" w:type="dxa"/>
          </w:tcPr>
          <w:p>
            <w:pPr>
              <w:pStyle w:val="TableText"/>
            </w:pPr>
            <w:r>
              <w:t xml:space="preserve">2.1</w:t>
            </w:r>
          </w:p>
        </w:tc>
      </w:tr>
      <w:tr>
        <w:tc>
          <w:tcPr>
            <w:tcW w:w="1714" w:type="dxa"/>
            <w:shd w:val="clear" w:color="auto" w:fill="F6F5FD"/>
          </w:tcPr>
          <w:p>
            <w:pPr>
              <w:pStyle w:val="TableText"/>
            </w:pPr>
            <w:r>
              <w:rPr>
                <w:b/>
              </w:rPr>
              <w:t xml:space="preserve">Department</w:t>
            </w:r>
          </w:p>
        </w:tc>
        <w:tc>
          <w:tcPr>
            <w:tcW w:w="3326" w:type="dxa"/>
          </w:tcPr>
          <w:p>
            <w:pPr>
              <w:pStyle w:val="TableText"/>
            </w:pPr>
            <w:r>
              <w:t xml:space="preserve">Finance, accounts payable</w:t>
            </w:r>
          </w:p>
        </w:tc>
        <w:tc>
          <w:tcPr>
            <w:tcW w:w="1714" w:type="dxa"/>
            <w:shd w:val="clear" w:color="auto" w:fill="F6F5FD"/>
          </w:tcPr>
          <w:p>
            <w:pPr>
              <w:pStyle w:val="TableText"/>
            </w:pPr>
            <w:r>
              <w:rPr>
                <w:b/>
              </w:rPr>
              <w:t xml:space="preserve">Effective date</w:t>
            </w:r>
          </w:p>
        </w:tc>
        <w:tc>
          <w:tcPr>
            <w:tcW w:w="3326" w:type="dxa"/>
          </w:tcPr>
          <w:p>
            <w:pPr>
              <w:pStyle w:val="TableText"/>
            </w:pPr>
            <w:r>
              <w:t xml:space="preserve">2026-10-01</w:t>
            </w:r>
          </w:p>
        </w:tc>
      </w:tr>
      <w:tr>
        <w:tc>
          <w:tcPr>
            <w:tcW w:w="1714" w:type="dxa"/>
            <w:shd w:val="clear" w:color="auto" w:fill="F6F5FD"/>
          </w:tcPr>
          <w:p>
            <w:pPr>
              <w:pStyle w:val="TableText"/>
            </w:pPr>
            <w:r>
              <w:rPr>
                <w:b/>
              </w:rPr>
              <w:t xml:space="preserve">Process owner</w:t>
            </w:r>
          </w:p>
        </w:tc>
        <w:tc>
          <w:tcPr>
            <w:tcW w:w="3326" w:type="dxa"/>
          </w:tcPr>
          <w:p>
            <w:pPr>
              <w:pStyle w:val="TableText"/>
            </w:pPr>
            <w:r>
              <w:t xml:space="preserve">Accounts payable lead</w:t>
            </w:r>
          </w:p>
        </w:tc>
        <w:tc>
          <w:tcPr>
            <w:tcW w:w="1714" w:type="dxa"/>
            <w:shd w:val="clear" w:color="auto" w:fill="F6F5FD"/>
          </w:tcPr>
          <w:p>
            <w:pPr>
              <w:pStyle w:val="TableText"/>
            </w:pPr>
            <w:r>
              <w:rPr>
                <w:b/>
              </w:rPr>
              <w:t xml:space="preserve">Next review</w:t>
            </w:r>
          </w:p>
        </w:tc>
        <w:tc>
          <w:tcPr>
            <w:tcW w:w="3326" w:type="dxa"/>
          </w:tcPr>
          <w:p>
            <w:pPr>
              <w:pStyle w:val="TableText"/>
            </w:pPr>
            <w:r>
              <w:t xml:space="preserve">2027-04-01</w:t>
            </w:r>
          </w:p>
        </w:tc>
      </w:tr>
      <w:tr>
        <w:tc>
          <w:tcPr>
            <w:tcW w:w="1714" w:type="dxa"/>
            <w:shd w:val="clear" w:color="auto" w:fill="F6F5FD"/>
          </w:tcPr>
          <w:p>
            <w:pPr>
              <w:pStyle w:val="TableText"/>
            </w:pPr>
            <w:r>
              <w:rPr>
                <w:b/>
              </w:rPr>
              <w:t xml:space="preserve">Status</w:t>
            </w:r>
          </w:p>
        </w:tc>
        <w:tc>
          <w:tcPr>
            <w:tcW w:w="3326" w:type="dxa"/>
          </w:tcPr>
          <w:p>
            <w:pPr>
              <w:pStyle w:val="TableText"/>
            </w:pPr>
            <w:r>
              <w:t xml:space="preserve">Approved</w:t>
            </w:r>
          </w:p>
        </w:tc>
        <w:tc>
          <w:tcPr>
            <w:tcW w:w="1714" w:type="dxa"/>
            <w:shd w:val="clear" w:color="auto" w:fill="F6F5FD"/>
          </w:tcPr>
          <w:p>
            <w:pPr>
              <w:pStyle w:val="TableText"/>
            </w:pPr>
            <w:r>
              <w:rPr>
                <w:b/>
              </w:rPr>
              <w:t xml:space="preserve">Approved by</w:t>
            </w:r>
          </w:p>
        </w:tc>
        <w:tc>
          <w:tcPr>
            <w:tcW w:w="3326" w:type="dxa"/>
          </w:tcPr>
          <w:p>
            <w:pPr>
              <w:pStyle w:val="TableText"/>
            </w:pPr>
            <w:r>
              <w:t xml:space="preserve">Finance manager</w:t>
            </w:r>
          </w:p>
        </w:tc>
      </w:tr>
    </w:tbl>
    <w:p>
      <w:pPr/>
    </w:p>
    <w:p>
      <w:pPr>
        <w:pStyle w:val="Heading1"/>
      </w:pPr>
      <w:r>
        <w:t xml:space="preserve">1. Purpose</w:t>
      </w:r>
    </w:p>
    <w:p>
      <w:pPr/>
      <w:r>
        <w:t xml:space="preserve">Make sure every supplier invoice is checked against what was ordered and received before it is paid, so the company pays the right supplier the right amount, once, and on time.</w:t>
      </w:r>
    </w:p>
    <w:p>
      <w:pPr>
        <w:pStyle w:val="Heading1"/>
      </w:pPr>
      <w:r>
        <w:t xml:space="preserve">2. Scope</w:t>
      </w:r>
    </w:p>
    <w:p>
      <w:pPr>
        <w:pStyle w:val="ListBullet"/>
        <w:numPr>
          <w:ilvl w:val="0"/>
          <w:numId w:val="1"/>
        </w:numPr>
      </w:pPr>
      <w:r>
        <w:rPr>
          <w:b/>
        </w:rPr>
        <w:t xml:space="preserve">Applies to:</w:t>
      </w:r>
      <w:r>
        <w:t xml:space="preserve"> supplier invoices for goods and services bought with a purchase order and received in the accounts payable inbox.</w:t>
      </w:r>
    </w:p>
    <w:p>
      <w:pPr>
        <w:pStyle w:val="ListBullet"/>
        <w:numPr>
          <w:ilvl w:val="0"/>
          <w:numId w:val="1"/>
        </w:numPr>
      </w:pPr>
      <w:r>
        <w:rPr>
          <w:b/>
        </w:rPr>
        <w:t xml:space="preserve">Does not cover:</w:t>
      </w:r>
      <w:r>
        <w:t xml:space="preserve"> employee expense claims, payroll, company card purchases. Invoices with no purchase order are handled as an exception (section 7).</w:t>
      </w:r>
    </w:p>
    <w:p>
      <w:pPr>
        <w:pStyle w:val="ListBullet"/>
        <w:numPr>
          <w:ilvl w:val="0"/>
          <w:numId w:val="1"/>
        </w:numPr>
      </w:pPr>
      <w:r>
        <w:rPr>
          <w:b/>
        </w:rPr>
        <w:t xml:space="preserve">Starts when:</w:t>
      </w:r>
      <w:r>
        <w:t xml:space="preserve"> an invoice arrives in the accounts payable inbox.</w:t>
      </w:r>
    </w:p>
    <w:p>
      <w:pPr>
        <w:pStyle w:val="ListBullet"/>
        <w:numPr>
          <w:ilvl w:val="0"/>
          <w:numId w:val="1"/>
        </w:numPr>
      </w:pPr>
      <w:r>
        <w:rPr>
          <w:b/>
        </w:rPr>
        <w:t xml:space="preserve">Ends when:</w:t>
      </w:r>
      <w:r>
        <w:t xml:space="preserve"> the invoice shows as Scheduled in the accounting system with a payment date, and its email is filed.</w:t>
      </w:r>
    </w:p>
    <w:p>
      <w:pPr>
        <w:pStyle w:val="Heading1"/>
      </w:pPr>
      <w:r>
        <w:t xml:space="preserve">3. Roles and responsibilities</w:t>
      </w:r>
    </w:p>
    <w:tbl>
      <w:tblPr>
        <w:tblStyle w:val="SopTable"/>
        <w:tblW w:w="10080" w:type="dxa"/>
        <w:tblBorders>
          <w:top w:val="single" w:sz="4" w:space="0" w:color="C9C5EA"/>
          <w:left w:val="single" w:sz="4" w:space="0" w:color="C9C5EA"/>
          <w:bottom w:val="single" w:sz="4" w:space="0" w:color="C9C5EA"/>
          <w:right w:val="single" w:sz="4" w:space="0" w:color="C9C5EA"/>
          <w:insideH w:val="single" w:sz="4" w:space="0" w:color="C9C5EA"/>
          <w:insideV w:val="single" w:sz="4" w:space="0" w:color="C9C5EA"/>
        </w:tblBorders>
        <w:tblLayout w:type="fixed"/>
        <w:tblCellMar>
          <w:top w:w="60" w:type="dxa"/>
          <w:left w:w="100" w:type="dxa"/>
          <w:bottom w:w="60" w:type="dxa"/>
          <w:right w:w="100" w:type="dxa"/>
        </w:tblCellMar>
        <w:tblLook w:val="04A0" w:firstRow="1" w:lastRow="0" w:firstColumn="0" w:lastColumn="0" w:noHBand="1" w:noVBand="1"/>
      </w:tblPr>
      <w:tblGrid>
        <w:gridCol w:w="2822"/>
        <w:gridCol w:w="7258"/>
      </w:tblGrid>
      <w:tr>
        <w:trPr>
          <w:tblHeader/>
        </w:trPr>
        <w:tc>
          <w:tcPr>
            <w:tcW w:w="2822" w:type="dxa"/>
            <w:shd w:val="clear" w:color="auto" w:fill="EEECFB"/>
          </w:tcPr>
          <w:p>
            <w:pPr>
              <w:pStyle w:val="TableText"/>
            </w:pPr>
            <w:r>
              <w:rPr>
                <w:b/>
              </w:rPr>
              <w:t xml:space="preserve">Role</w:t>
            </w:r>
          </w:p>
        </w:tc>
        <w:tc>
          <w:tcPr>
            <w:tcW w:w="7258" w:type="dxa"/>
            <w:shd w:val="clear" w:color="auto" w:fill="EEECFB"/>
          </w:tcPr>
          <w:p>
            <w:pPr>
              <w:pStyle w:val="TableText"/>
            </w:pPr>
            <w:r>
              <w:rPr>
                <w:b/>
              </w:rPr>
              <w:t xml:space="preserve">Responsibility</w:t>
            </w:r>
          </w:p>
        </w:tc>
      </w:tr>
      <w:tr>
        <w:trPr>
          <w:trHeight w:val="400" w:hRule="atLeast"/>
        </w:trPr>
        <w:tc>
          <w:tcPr>
            <w:tcW w:w="2822" w:type="dxa"/>
          </w:tcPr>
          <w:p>
            <w:pPr>
              <w:pStyle w:val="TableText"/>
            </w:pPr>
            <w:r>
              <w:t xml:space="preserve">Accounts payable (AP) clerk</w:t>
            </w:r>
          </w:p>
        </w:tc>
        <w:tc>
          <w:tcPr>
            <w:tcW w:w="7258" w:type="dxa"/>
          </w:tcPr>
          <w:p>
            <w:pPr>
              <w:pStyle w:val="TableText"/>
            </w:pPr>
            <w:r>
              <w:t xml:space="preserve">Performs steps 1 to 8: checks, enters and routes invoices. Never approves an invoice they entered.</w:t>
            </w:r>
          </w:p>
        </w:tc>
      </w:tr>
      <w:tr>
        <w:trPr>
          <w:trHeight w:val="400" w:hRule="atLeast"/>
        </w:trPr>
        <w:tc>
          <w:tcPr>
            <w:tcW w:w="2822" w:type="dxa"/>
          </w:tcPr>
          <w:p>
            <w:pPr>
              <w:pStyle w:val="TableText"/>
            </w:pPr>
            <w:r>
              <w:t xml:space="preserve">Budget holder</w:t>
            </w:r>
          </w:p>
        </w:tc>
        <w:tc>
          <w:tcPr>
            <w:tcW w:w="7258" w:type="dxa"/>
          </w:tcPr>
          <w:p>
            <w:pPr>
              <w:pStyle w:val="TableText"/>
            </w:pPr>
            <w:r>
              <w:t xml:space="preserve">Approves invoices up to $5,000 charged to their budget, within two working days of the request.</w:t>
            </w:r>
          </w:p>
        </w:tc>
      </w:tr>
      <w:tr>
        <w:trPr>
          <w:trHeight w:val="400" w:hRule="atLeast"/>
        </w:trPr>
        <w:tc>
          <w:tcPr>
            <w:tcW w:w="2822" w:type="dxa"/>
          </w:tcPr>
          <w:p>
            <w:pPr>
              <w:pStyle w:val="TableText"/>
            </w:pPr>
            <w:r>
              <w:t xml:space="preserve">Finance manager</w:t>
            </w:r>
          </w:p>
        </w:tc>
        <w:tc>
          <w:tcPr>
            <w:tcW w:w="7258" w:type="dxa"/>
          </w:tcPr>
          <w:p>
            <w:pPr>
              <w:pStyle w:val="TableText"/>
            </w:pPr>
            <w:r>
              <w:t xml:space="preserve">Approves invoices over $5,000 and every change to a supplier's bank details.</w:t>
            </w:r>
          </w:p>
        </w:tc>
      </w:tr>
      <w:tr>
        <w:trPr>
          <w:trHeight w:val="400" w:hRule="atLeast"/>
        </w:trPr>
        <w:tc>
          <w:tcPr>
            <w:tcW w:w="2822" w:type="dxa"/>
          </w:tcPr>
          <w:p>
            <w:pPr>
              <w:pStyle w:val="TableText"/>
            </w:pPr>
            <w:r>
              <w:t xml:space="preserve">Buyer (purchasing)</w:t>
            </w:r>
          </w:p>
        </w:tc>
        <w:tc>
          <w:tcPr>
            <w:tcW w:w="7258" w:type="dxa"/>
          </w:tcPr>
          <w:p>
            <w:pPr>
              <w:pStyle w:val="TableText"/>
            </w:pPr>
            <w:r>
              <w:t xml:space="preserve">Resolves price and quantity differences with the supplier.</w:t>
            </w:r>
          </w:p>
        </w:tc>
      </w:tr>
    </w:tbl>
    <w:p>
      <w:pPr>
        <w:pStyle w:val="Heading1"/>
      </w:pPr>
      <w:r>
        <w:t xml:space="preserve">4. Definitions</w:t>
      </w:r>
    </w:p>
    <w:tbl>
      <w:tblPr>
        <w:tblStyle w:val="SopTable"/>
        <w:tblW w:w="10080" w:type="dxa"/>
        <w:tblBorders>
          <w:top w:val="single" w:sz="4" w:space="0" w:color="C9C5EA"/>
          <w:left w:val="single" w:sz="4" w:space="0" w:color="C9C5EA"/>
          <w:bottom w:val="single" w:sz="4" w:space="0" w:color="C9C5EA"/>
          <w:right w:val="single" w:sz="4" w:space="0" w:color="C9C5EA"/>
          <w:insideH w:val="single" w:sz="4" w:space="0" w:color="C9C5EA"/>
          <w:insideV w:val="single" w:sz="4" w:space="0" w:color="C9C5EA"/>
        </w:tblBorders>
        <w:tblLayout w:type="fixed"/>
        <w:tblCellMar>
          <w:top w:w="60" w:type="dxa"/>
          <w:left w:w="100" w:type="dxa"/>
          <w:bottom w:w="60" w:type="dxa"/>
          <w:right w:w="100" w:type="dxa"/>
        </w:tblCellMar>
        <w:tblLook w:val="04A0" w:firstRow="1" w:lastRow="0" w:firstColumn="0" w:lastColumn="0" w:noHBand="1" w:noVBand="1"/>
      </w:tblPr>
      <w:tblGrid>
        <w:gridCol w:w="2822"/>
        <w:gridCol w:w="7258"/>
      </w:tblGrid>
      <w:tr>
        <w:trPr>
          <w:tblHeader/>
        </w:trPr>
        <w:tc>
          <w:tcPr>
            <w:tcW w:w="2822" w:type="dxa"/>
            <w:shd w:val="clear" w:color="auto" w:fill="EEECFB"/>
          </w:tcPr>
          <w:p>
            <w:pPr>
              <w:pStyle w:val="TableText"/>
            </w:pPr>
            <w:r>
              <w:rPr>
                <w:b/>
              </w:rPr>
              <w:t xml:space="preserve">Term</w:t>
            </w:r>
          </w:p>
        </w:tc>
        <w:tc>
          <w:tcPr>
            <w:tcW w:w="7258" w:type="dxa"/>
            <w:shd w:val="clear" w:color="auto" w:fill="EEECFB"/>
          </w:tcPr>
          <w:p>
            <w:pPr>
              <w:pStyle w:val="TableText"/>
            </w:pPr>
            <w:r>
              <w:rPr>
                <w:b/>
              </w:rPr>
              <w:t xml:space="preserve">Meaning</w:t>
            </w:r>
          </w:p>
        </w:tc>
      </w:tr>
      <w:tr>
        <w:trPr>
          <w:trHeight w:val="400" w:hRule="atLeast"/>
        </w:trPr>
        <w:tc>
          <w:tcPr>
            <w:tcW w:w="2822" w:type="dxa"/>
          </w:tcPr>
          <w:p>
            <w:pPr>
              <w:pStyle w:val="TableText"/>
            </w:pPr>
            <w:r>
              <w:t xml:space="preserve">Purchase order (PO)</w:t>
            </w:r>
          </w:p>
        </w:tc>
        <w:tc>
          <w:tcPr>
            <w:tcW w:w="7258" w:type="dxa"/>
          </w:tcPr>
          <w:p>
            <w:pPr>
              <w:pStyle w:val="TableText"/>
            </w:pPr>
            <w:r>
              <w:t xml:space="preserve">The approved order sent to the supplier. Its number should appear on the invoice.</w:t>
            </w:r>
          </w:p>
        </w:tc>
      </w:tr>
      <w:tr>
        <w:trPr>
          <w:trHeight w:val="400" w:hRule="atLeast"/>
        </w:trPr>
        <w:tc>
          <w:tcPr>
            <w:tcW w:w="2822" w:type="dxa"/>
          </w:tcPr>
          <w:p>
            <w:pPr>
              <w:pStyle w:val="TableText"/>
            </w:pPr>
            <w:r>
              <w:t xml:space="preserve">Goods receipt</w:t>
            </w:r>
          </w:p>
        </w:tc>
        <w:tc>
          <w:tcPr>
            <w:tcW w:w="7258" w:type="dxa"/>
          </w:tcPr>
          <w:p>
            <w:pPr>
              <w:pStyle w:val="TableText"/>
            </w:pPr>
            <w:r>
              <w:t xml:space="preserve">The record, made by whoever received the goods or service, confirming what actually arrived.</w:t>
            </w:r>
          </w:p>
        </w:tc>
      </w:tr>
      <w:tr>
        <w:trPr>
          <w:trHeight w:val="400" w:hRule="atLeast"/>
        </w:trPr>
        <w:tc>
          <w:tcPr>
            <w:tcW w:w="2822" w:type="dxa"/>
          </w:tcPr>
          <w:p>
            <w:pPr>
              <w:pStyle w:val="TableText"/>
            </w:pPr>
            <w:r>
              <w:t xml:space="preserve">Three-way match</w:t>
            </w:r>
          </w:p>
        </w:tc>
        <w:tc>
          <w:tcPr>
            <w:tcW w:w="7258" w:type="dxa"/>
          </w:tcPr>
          <w:p>
            <w:pPr>
              <w:pStyle w:val="TableText"/>
            </w:pPr>
            <w:r>
              <w:t xml:space="preserve">The PO, the goods receipt and the invoice agree on supplier, items, quantities and prices.</w:t>
            </w:r>
          </w:p>
        </w:tc>
      </w:tr>
      <w:tr>
        <w:trPr>
          <w:trHeight w:val="400" w:hRule="atLeast"/>
        </w:trPr>
        <w:tc>
          <w:tcPr>
            <w:tcW w:w="2822" w:type="dxa"/>
          </w:tcPr>
          <w:p>
            <w:pPr>
              <w:pStyle w:val="TableText"/>
            </w:pPr>
            <w:r>
              <w:t xml:space="preserve">On hold</w:t>
            </w:r>
          </w:p>
        </w:tc>
        <w:tc>
          <w:tcPr>
            <w:tcW w:w="7258" w:type="dxa"/>
          </w:tcPr>
          <w:p>
            <w:pPr>
              <w:pStyle w:val="TableText"/>
            </w:pPr>
            <w:r>
              <w:t xml:space="preserve">An invoice status that blocks payment until someone clears it.</w:t>
            </w:r>
          </w:p>
        </w:tc>
      </w:tr>
    </w:tbl>
    <w:p>
      <w:pPr>
        <w:pStyle w:val="Heading1"/>
      </w:pPr>
      <w:r>
        <w:t xml:space="preserve">5. Materials, tools and systems</w:t>
      </w:r>
    </w:p>
    <w:p>
      <w:pPr>
        <w:pStyle w:val="ListBullet"/>
        <w:numPr>
          <w:ilvl w:val="0"/>
          <w:numId w:val="1"/>
        </w:numPr>
      </w:pPr>
      <w:r>
        <w:t xml:space="preserve">Access to the accounts payable shared inbox.</w:t>
      </w:r>
    </w:p>
    <w:p>
      <w:pPr>
        <w:pStyle w:val="ListBullet"/>
        <w:numPr>
          <w:ilvl w:val="0"/>
          <w:numId w:val="1"/>
        </w:numPr>
      </w:pPr>
      <w:r>
        <w:t xml:space="preserve">An accounting system login with the AP clerk role (can enter invoices; cannot approve them or edit bank details).</w:t>
      </w:r>
    </w:p>
    <w:p>
      <w:pPr>
        <w:pStyle w:val="ListBullet"/>
        <w:numPr>
          <w:ilvl w:val="0"/>
          <w:numId w:val="1"/>
        </w:numPr>
      </w:pPr>
      <w:r>
        <w:t xml:space="preserve">Read access to purchase orders and goods receipts.</w:t>
      </w:r>
    </w:p>
    <w:p>
      <w:pPr>
        <w:pStyle w:val="ListBullet"/>
        <w:numPr>
          <w:ilvl w:val="0"/>
          <w:numId w:val="1"/>
        </w:numPr>
      </w:pPr>
      <w:r>
        <w:t xml:space="preserve">The approval limits and price tolerance in the purchasing policy.</w:t>
      </w:r>
    </w:p>
    <w:p>
      <w:pPr>
        <w:pStyle w:val="Heading1"/>
      </w:pPr>
      <w:r>
        <w:t xml:space="preserve">6. Procedure</w:t>
      </w:r>
    </w:p>
    <w:tbl>
      <w:tblPr>
        <w:tblStyle w:val="SopTable"/>
        <w:tblW w:w="10080" w:type="dxa"/>
        <w:tblBorders>
          <w:top w:val="single" w:sz="4" w:space="0" w:color="C9C5EA"/>
          <w:left w:val="single" w:sz="4" w:space="0" w:color="C9C5EA"/>
          <w:bottom w:val="single" w:sz="4" w:space="0" w:color="C9C5EA"/>
          <w:right w:val="single" w:sz="4" w:space="0" w:color="C9C5EA"/>
          <w:insideH w:val="single" w:sz="4" w:space="0" w:color="C9C5EA"/>
          <w:insideV w:val="single" w:sz="4" w:space="0" w:color="C9C5EA"/>
        </w:tblBorders>
        <w:tblLayout w:type="fixed"/>
        <w:tblCellMar>
          <w:top w:w="60" w:type="dxa"/>
          <w:left w:w="100" w:type="dxa"/>
          <w:bottom w:w="60" w:type="dxa"/>
          <w:right w:w="100" w:type="dxa"/>
        </w:tblCellMar>
        <w:tblLook w:val="04A0" w:firstRow="1" w:lastRow="0" w:firstColumn="0" w:lastColumn="0" w:noHBand="1" w:noVBand="1"/>
      </w:tblPr>
      <w:tblGrid>
        <w:gridCol w:w="806"/>
        <w:gridCol w:w="4435"/>
        <w:gridCol w:w="1613"/>
        <w:gridCol w:w="3226"/>
      </w:tblGrid>
      <w:tr>
        <w:trPr>
          <w:tblHeader/>
        </w:trPr>
        <w:tc>
          <w:tcPr>
            <w:tcW w:w="806" w:type="dxa"/>
            <w:shd w:val="clear" w:color="auto" w:fill="EEECFB"/>
          </w:tcPr>
          <w:p>
            <w:pPr>
              <w:pStyle w:val="TableText"/>
            </w:pPr>
            <w:r>
              <w:rPr>
                <w:b/>
              </w:rPr>
              <w:t xml:space="preserve">Step</w:t>
            </w:r>
          </w:p>
        </w:tc>
        <w:tc>
          <w:tcPr>
            <w:tcW w:w="4435" w:type="dxa"/>
            <w:shd w:val="clear" w:color="auto" w:fill="EEECFB"/>
          </w:tcPr>
          <w:p>
            <w:pPr>
              <w:pStyle w:val="TableText"/>
            </w:pPr>
            <w:r>
              <w:rPr>
                <w:b/>
              </w:rPr>
              <w:t xml:space="preserve">Action</w:t>
            </w:r>
          </w:p>
        </w:tc>
        <w:tc>
          <w:tcPr>
            <w:tcW w:w="1613" w:type="dxa"/>
            <w:shd w:val="clear" w:color="auto" w:fill="EEECFB"/>
          </w:tcPr>
          <w:p>
            <w:pPr>
              <w:pStyle w:val="TableText"/>
            </w:pPr>
            <w:r>
              <w:rPr>
                <w:b/>
              </w:rPr>
              <w:t xml:space="preserve">Owner</w:t>
            </w:r>
          </w:p>
        </w:tc>
        <w:tc>
          <w:tcPr>
            <w:tcW w:w="3226" w:type="dxa"/>
            <w:shd w:val="clear" w:color="auto" w:fill="EEECFB"/>
          </w:tcPr>
          <w:p>
            <w:pPr>
              <w:pStyle w:val="TableText"/>
            </w:pPr>
            <w:r>
              <w:rPr>
                <w:b/>
              </w:rPr>
              <w:t xml:space="preserve">Notes and expected result</w:t>
            </w:r>
          </w:p>
        </w:tc>
      </w:tr>
      <w:tr>
        <w:trPr>
          <w:trHeight w:val="400" w:hRule="atLeast"/>
        </w:trPr>
        <w:tc>
          <w:tcPr>
            <w:tcW w:w="806" w:type="dxa"/>
          </w:tcPr>
          <w:p>
            <w:pPr>
              <w:pStyle w:val="TableText"/>
            </w:pPr>
            <w:r>
              <w:t xml:space="preserve">1</w:t>
            </w:r>
          </w:p>
        </w:tc>
        <w:tc>
          <w:tcPr>
            <w:tcW w:w="4435" w:type="dxa"/>
          </w:tcPr>
          <w:p>
            <w:pPr>
              <w:pStyle w:val="TableText"/>
            </w:pPr>
            <w:r>
              <w:t xml:space="preserve">Open the next invoice in the AP inbox and save the PDF to the supplier's folder.</w:t>
            </w:r>
          </w:p>
        </w:tc>
        <w:tc>
          <w:tcPr>
            <w:tcW w:w="1613" w:type="dxa"/>
          </w:tcPr>
          <w:p>
            <w:pPr>
              <w:pStyle w:val="TableText"/>
            </w:pPr>
            <w:r>
              <w:t xml:space="preserve">AP clerk</w:t>
            </w:r>
          </w:p>
        </w:tc>
        <w:tc>
          <w:tcPr>
            <w:tcW w:w="3226" w:type="dxa"/>
          </w:tcPr>
          <w:p>
            <w:pPr>
              <w:pStyle w:val="TableText"/>
            </w:pPr>
            <w:r>
              <w:t xml:space="preserve">One invoice per PDF. Split combined files before you start.</w:t>
            </w:r>
          </w:p>
        </w:tc>
      </w:tr>
      <w:tr>
        <w:trPr>
          <w:trHeight w:val="400" w:hRule="atLeast"/>
        </w:trPr>
        <w:tc>
          <w:tcPr>
            <w:tcW w:w="806" w:type="dxa"/>
          </w:tcPr>
          <w:p>
            <w:pPr>
              <w:pStyle w:val="TableText"/>
            </w:pPr>
            <w:r>
              <w:t xml:space="preserve">2</w:t>
            </w:r>
          </w:p>
        </w:tc>
        <w:tc>
          <w:tcPr>
            <w:tcW w:w="4435" w:type="dxa"/>
          </w:tcPr>
          <w:p>
            <w:pPr>
              <w:pStyle w:val="TableText"/>
            </w:pPr>
            <w:r>
              <w:t xml:space="preserve">Search the accounting system for the supplier name and the invoice number.</w:t>
            </w:r>
          </w:p>
        </w:tc>
        <w:tc>
          <w:tcPr>
            <w:tcW w:w="1613" w:type="dxa"/>
          </w:tcPr>
          <w:p>
            <w:pPr>
              <w:pStyle w:val="TableText"/>
            </w:pPr>
            <w:r>
              <w:t xml:space="preserve">AP clerk</w:t>
            </w:r>
          </w:p>
        </w:tc>
        <w:tc>
          <w:tcPr>
            <w:tcW w:w="3226" w:type="dxa"/>
          </w:tcPr>
          <w:p>
            <w:pPr>
              <w:pStyle w:val="TableText"/>
            </w:pPr>
            <w:r>
              <w:t xml:space="preserve">A match means a duplicate: reply to the supplier, file the email under Duplicates and stop.</w:t>
            </w:r>
          </w:p>
        </w:tc>
      </w:tr>
      <w:tr>
        <w:trPr>
          <w:trHeight w:val="400" w:hRule="atLeast"/>
        </w:trPr>
        <w:tc>
          <w:tcPr>
            <w:tcW w:w="806" w:type="dxa"/>
          </w:tcPr>
          <w:p>
            <w:pPr>
              <w:pStyle w:val="TableText"/>
            </w:pPr>
            <w:r>
              <w:t xml:space="preserve">3</w:t>
            </w:r>
          </w:p>
        </w:tc>
        <w:tc>
          <w:tcPr>
            <w:tcW w:w="4435" w:type="dxa"/>
          </w:tcPr>
          <w:p>
            <w:pPr>
              <w:pStyle w:val="TableText"/>
            </w:pPr>
            <w:r>
              <w:t xml:space="preserve">Open the PO and the goods receipt, and check supplier, items, quantities and prices against the invoice.</w:t>
            </w:r>
          </w:p>
        </w:tc>
        <w:tc>
          <w:tcPr>
            <w:tcW w:w="1613" w:type="dxa"/>
          </w:tcPr>
          <w:p>
            <w:pPr>
              <w:pStyle w:val="TableText"/>
            </w:pPr>
            <w:r>
              <w:t xml:space="preserve">AP clerk</w:t>
            </w:r>
          </w:p>
        </w:tc>
        <w:tc>
          <w:tcPr>
            <w:tcW w:w="3226" w:type="dxa"/>
          </w:tcPr>
          <w:p>
            <w:pPr>
              <w:pStyle w:val="TableText"/>
            </w:pPr>
            <w:r>
              <w:t xml:space="preserve">A price difference inside the policy tolerance is fine. Anything else goes to section 7.</w:t>
            </w:r>
          </w:p>
        </w:tc>
      </w:tr>
      <w:tr>
        <w:trPr>
          <w:trHeight w:val="400" w:hRule="atLeast"/>
        </w:trPr>
        <w:tc>
          <w:tcPr>
            <w:tcW w:w="806" w:type="dxa"/>
          </w:tcPr>
          <w:p>
            <w:pPr>
              <w:pStyle w:val="TableText"/>
            </w:pPr>
            <w:r>
              <w:t xml:space="preserve">4</w:t>
            </w:r>
          </w:p>
        </w:tc>
        <w:tc>
          <w:tcPr>
            <w:tcW w:w="4435" w:type="dxa"/>
          </w:tcPr>
          <w:p>
            <w:pPr>
              <w:pStyle w:val="TableText"/>
            </w:pPr>
            <w:r>
              <w:t xml:space="preserve">Compare the bank details on the invoice with the supplier record.</w:t>
            </w:r>
          </w:p>
        </w:tc>
        <w:tc>
          <w:tcPr>
            <w:tcW w:w="1613" w:type="dxa"/>
          </w:tcPr>
          <w:p>
            <w:pPr>
              <w:pStyle w:val="TableText"/>
            </w:pPr>
            <w:r>
              <w:t xml:space="preserve">AP clerk</w:t>
            </w:r>
          </w:p>
        </w:tc>
        <w:tc>
          <w:tcPr>
            <w:tcW w:w="3226" w:type="dxa"/>
          </w:tcPr>
          <w:p>
            <w:pPr>
              <w:pStyle w:val="TableText"/>
            </w:pPr>
            <w:r>
              <w:t xml:space="preserve">If they differ, stop. Do not enter the invoice; follow the bank-details exception.</w:t>
            </w:r>
          </w:p>
        </w:tc>
      </w:tr>
      <w:tr>
        <w:trPr>
          <w:trHeight w:val="400" w:hRule="atLeast"/>
        </w:trPr>
        <w:tc>
          <w:tcPr>
            <w:tcW w:w="806" w:type="dxa"/>
          </w:tcPr>
          <w:p>
            <w:pPr>
              <w:pStyle w:val="TableText"/>
            </w:pPr>
            <w:r>
              <w:t xml:space="preserve">5</w:t>
            </w:r>
          </w:p>
        </w:tc>
        <w:tc>
          <w:tcPr>
            <w:tcW w:w="4435" w:type="dxa"/>
          </w:tcPr>
          <w:p>
            <w:pPr>
              <w:pStyle w:val="TableText"/>
            </w:pPr>
            <w:r>
              <w:t xml:space="preserve">Enter the invoice: supplier, invoice number, invoice date, due date, net amount, tax and PO number. Attach the PDF.</w:t>
            </w:r>
          </w:p>
        </w:tc>
        <w:tc>
          <w:tcPr>
            <w:tcW w:w="1613" w:type="dxa"/>
          </w:tcPr>
          <w:p>
            <w:pPr>
              <w:pStyle w:val="TableText"/>
            </w:pPr>
            <w:r>
              <w:t xml:space="preserve">AP clerk</w:t>
            </w:r>
          </w:p>
        </w:tc>
        <w:tc>
          <w:tcPr>
            <w:tcW w:w="3226" w:type="dxa"/>
          </w:tcPr>
          <w:p>
            <w:pPr>
              <w:pStyle w:val="TableText"/>
            </w:pPr>
            <w:r>
              <w:t xml:space="preserve">Expected result: status Awaiting approval.</w:t>
            </w:r>
          </w:p>
        </w:tc>
      </w:tr>
      <w:tr>
        <w:trPr>
          <w:trHeight w:val="400" w:hRule="atLeast"/>
        </w:trPr>
        <w:tc>
          <w:tcPr>
            <w:tcW w:w="806" w:type="dxa"/>
          </w:tcPr>
          <w:p>
            <w:pPr>
              <w:pStyle w:val="TableText"/>
            </w:pPr>
            <w:r>
              <w:t xml:space="preserve">6</w:t>
            </w:r>
          </w:p>
        </w:tc>
        <w:tc>
          <w:tcPr>
            <w:tcW w:w="4435" w:type="dxa"/>
          </w:tcPr>
          <w:p>
            <w:pPr>
              <w:pStyle w:val="TableText"/>
            </w:pPr>
            <w:r>
              <w:t xml:space="preserve">Send it for approval: to the budget holder up to $5,000, to the finance manager above that.</w:t>
            </w:r>
          </w:p>
        </w:tc>
        <w:tc>
          <w:tcPr>
            <w:tcW w:w="1613" w:type="dxa"/>
          </w:tcPr>
          <w:p>
            <w:pPr>
              <w:pStyle w:val="TableText"/>
            </w:pPr>
            <w:r>
              <w:t xml:space="preserve">AP clerk, then approver</w:t>
            </w:r>
          </w:p>
        </w:tc>
        <w:tc>
          <w:tcPr>
            <w:tcW w:w="3226" w:type="dxa"/>
          </w:tcPr>
          <w:p>
            <w:pPr>
              <w:pStyle w:val="TableText"/>
            </w:pPr>
            <w:r>
              <w:t xml:space="preserve">The approver confirms the charge is genuine and coded to the right budget. Expected result: status Approved.</w:t>
            </w:r>
          </w:p>
        </w:tc>
      </w:tr>
      <w:tr>
        <w:trPr>
          <w:trHeight w:val="400" w:hRule="atLeast"/>
        </w:trPr>
        <w:tc>
          <w:tcPr>
            <w:tcW w:w="806" w:type="dxa"/>
          </w:tcPr>
          <w:p>
            <w:pPr>
              <w:pStyle w:val="TableText"/>
            </w:pPr>
            <w:r>
              <w:t xml:space="preserve">7</w:t>
            </w:r>
          </w:p>
        </w:tc>
        <w:tc>
          <w:tcPr>
            <w:tcW w:w="4435" w:type="dxa"/>
          </w:tcPr>
          <w:p>
            <w:pPr>
              <w:pStyle w:val="TableText"/>
            </w:pPr>
            <w:r>
              <w:t xml:space="preserve">Add the invoice to the last payment run before its due date.</w:t>
            </w:r>
          </w:p>
        </w:tc>
        <w:tc>
          <w:tcPr>
            <w:tcW w:w="1613" w:type="dxa"/>
          </w:tcPr>
          <w:p>
            <w:pPr>
              <w:pStyle w:val="TableText"/>
            </w:pPr>
            <w:r>
              <w:t xml:space="preserve">AP clerk</w:t>
            </w:r>
          </w:p>
        </w:tc>
        <w:tc>
          <w:tcPr>
            <w:tcW w:w="3226" w:type="dxa"/>
          </w:tcPr>
          <w:p>
            <w:pPr>
              <w:pStyle w:val="TableText"/>
            </w:pPr>
            <w:r>
              <w:t xml:space="preserve">Expected result: status Scheduled, with a payment date.</w:t>
            </w:r>
          </w:p>
        </w:tc>
      </w:tr>
      <w:tr>
        <w:trPr>
          <w:trHeight w:val="400" w:hRule="atLeast"/>
        </w:trPr>
        <w:tc>
          <w:tcPr>
            <w:tcW w:w="806" w:type="dxa"/>
          </w:tcPr>
          <w:p>
            <w:pPr>
              <w:pStyle w:val="TableText"/>
            </w:pPr>
            <w:r>
              <w:t xml:space="preserve">8</w:t>
            </w:r>
          </w:p>
        </w:tc>
        <w:tc>
          <w:tcPr>
            <w:tcW w:w="4435" w:type="dxa"/>
          </w:tcPr>
          <w:p>
            <w:pPr>
              <w:pStyle w:val="TableText"/>
            </w:pPr>
            <w:r>
              <w:t xml:space="preserve">Move the email to the Processed folder.</w:t>
            </w:r>
          </w:p>
        </w:tc>
        <w:tc>
          <w:tcPr>
            <w:tcW w:w="1613" w:type="dxa"/>
          </w:tcPr>
          <w:p>
            <w:pPr>
              <w:pStyle w:val="TableText"/>
            </w:pPr>
            <w:r>
              <w:t xml:space="preserve">AP clerk</w:t>
            </w:r>
          </w:p>
        </w:tc>
        <w:tc>
          <w:tcPr>
            <w:tcW w:w="3226" w:type="dxa"/>
          </w:tcPr>
          <w:p>
            <w:pPr>
              <w:pStyle w:val="TableText"/>
            </w:pPr>
            <w:r>
              <w:t xml:space="preserve">The inbox should only hold invoices still in progress.</w:t>
            </w:r>
          </w:p>
        </w:tc>
      </w:tr>
    </w:tbl>
    <w:p>
      <w:pPr>
        <w:pStyle w:val="Heading1"/>
      </w:pPr>
      <w:r>
        <w:t xml:space="preserve">7. Exceptions and escalation</w:t>
      </w:r>
    </w:p>
    <w:tbl>
      <w:tblPr>
        <w:tblStyle w:val="SopTable"/>
        <w:tblW w:w="10080" w:type="dxa"/>
        <w:tblBorders>
          <w:top w:val="single" w:sz="4" w:space="0" w:color="C9C5EA"/>
          <w:left w:val="single" w:sz="4" w:space="0" w:color="C9C5EA"/>
          <w:bottom w:val="single" w:sz="4" w:space="0" w:color="C9C5EA"/>
          <w:right w:val="single" w:sz="4" w:space="0" w:color="C9C5EA"/>
          <w:insideH w:val="single" w:sz="4" w:space="0" w:color="C9C5EA"/>
          <w:insideV w:val="single" w:sz="4" w:space="0" w:color="C9C5EA"/>
        </w:tblBorders>
        <w:tblLayout w:type="fixed"/>
        <w:tblCellMar>
          <w:top w:w="60" w:type="dxa"/>
          <w:left w:w="100" w:type="dxa"/>
          <w:bottom w:w="60" w:type="dxa"/>
          <w:right w:w="100" w:type="dxa"/>
        </w:tblCellMar>
        <w:tblLook w:val="04A0" w:firstRow="1" w:lastRow="0" w:firstColumn="0" w:lastColumn="0" w:noHBand="1" w:noVBand="1"/>
      </w:tblPr>
      <w:tblGrid>
        <w:gridCol w:w="3226"/>
        <w:gridCol w:w="4637"/>
        <w:gridCol w:w="2217"/>
      </w:tblGrid>
      <w:tr>
        <w:trPr>
          <w:tblHeader/>
        </w:trPr>
        <w:tc>
          <w:tcPr>
            <w:tcW w:w="3226" w:type="dxa"/>
            <w:shd w:val="clear" w:color="auto" w:fill="EEECFB"/>
          </w:tcPr>
          <w:p>
            <w:pPr>
              <w:pStyle w:val="TableText"/>
            </w:pPr>
            <w:r>
              <w:rPr>
                <w:b/>
              </w:rPr>
              <w:t xml:space="preserve">If this happens</w:t>
            </w:r>
          </w:p>
        </w:tc>
        <w:tc>
          <w:tcPr>
            <w:tcW w:w="4637" w:type="dxa"/>
            <w:shd w:val="clear" w:color="auto" w:fill="EEECFB"/>
          </w:tcPr>
          <w:p>
            <w:pPr>
              <w:pStyle w:val="TableText"/>
            </w:pPr>
            <w:r>
              <w:rPr>
                <w:b/>
              </w:rPr>
              <w:t xml:space="preserve">Do this</w:t>
            </w:r>
          </w:p>
        </w:tc>
        <w:tc>
          <w:tcPr>
            <w:tcW w:w="2217" w:type="dxa"/>
            <w:shd w:val="clear" w:color="auto" w:fill="EEECFB"/>
          </w:tcPr>
          <w:p>
            <w:pPr>
              <w:pStyle w:val="TableText"/>
            </w:pPr>
            <w:r>
              <w:rPr>
                <w:b/>
              </w:rPr>
              <w:t xml:space="preserve">Contact</w:t>
            </w:r>
          </w:p>
        </w:tc>
      </w:tr>
      <w:tr>
        <w:trPr>
          <w:trHeight w:val="400" w:hRule="atLeast"/>
        </w:trPr>
        <w:tc>
          <w:tcPr>
            <w:tcW w:w="3226" w:type="dxa"/>
          </w:tcPr>
          <w:p>
            <w:pPr>
              <w:pStyle w:val="TableText"/>
            </w:pPr>
            <w:r>
              <w:t xml:space="preserve">There is no PO number on the invoice</w:t>
            </w:r>
          </w:p>
        </w:tc>
        <w:tc>
          <w:tcPr>
            <w:tcW w:w="4637" w:type="dxa"/>
          </w:tcPr>
          <w:p>
            <w:pPr>
              <w:pStyle w:val="TableText"/>
            </w:pPr>
            <w:r>
              <w:t xml:space="preserve">Put the invoice on hold and ask the person who ordered to raise or confirm a PO.</w:t>
            </w:r>
          </w:p>
        </w:tc>
        <w:tc>
          <w:tcPr>
            <w:tcW w:w="2217" w:type="dxa"/>
          </w:tcPr>
          <w:p>
            <w:pPr>
              <w:pStyle w:val="TableText"/>
            </w:pPr>
            <w:r>
              <w:t xml:space="preserve">Requester, then budget holder</w:t>
            </w:r>
          </w:p>
        </w:tc>
      </w:tr>
      <w:tr>
        <w:trPr>
          <w:trHeight w:val="400" w:hRule="atLeast"/>
        </w:trPr>
        <w:tc>
          <w:tcPr>
            <w:tcW w:w="3226" w:type="dxa"/>
          </w:tcPr>
          <w:p>
            <w:pPr>
              <w:pStyle w:val="TableText"/>
            </w:pPr>
            <w:r>
              <w:t xml:space="preserve">Price or quantity does not match</w:t>
            </w:r>
          </w:p>
        </w:tc>
        <w:tc>
          <w:tcPr>
            <w:tcW w:w="4637" w:type="dxa"/>
          </w:tcPr>
          <w:p>
            <w:pPr>
              <w:pStyle w:val="TableText"/>
            </w:pPr>
            <w:r>
              <w:t xml:space="preserve">Put the invoice on hold and email the buyer with the invoice and PO attached.</w:t>
            </w:r>
          </w:p>
        </w:tc>
        <w:tc>
          <w:tcPr>
            <w:tcW w:w="2217" w:type="dxa"/>
          </w:tcPr>
          <w:p>
            <w:pPr>
              <w:pStyle w:val="TableText"/>
            </w:pPr>
            <w:r>
              <w:t xml:space="preserve">Buyer</w:t>
            </w:r>
          </w:p>
        </w:tc>
      </w:tr>
      <w:tr>
        <w:trPr>
          <w:trHeight w:val="400" w:hRule="atLeast"/>
        </w:trPr>
        <w:tc>
          <w:tcPr>
            <w:tcW w:w="3226" w:type="dxa"/>
          </w:tcPr>
          <w:p>
            <w:pPr>
              <w:pStyle w:val="TableText"/>
            </w:pPr>
            <w:r>
              <w:t xml:space="preserve">Bank details differ, or the supplier asks to change them</w:t>
            </w:r>
          </w:p>
        </w:tc>
        <w:tc>
          <w:tcPr>
            <w:tcW w:w="4637" w:type="dxa"/>
          </w:tcPr>
          <w:p>
            <w:pPr>
              <w:pStyle w:val="TableText"/>
            </w:pPr>
            <w:r>
              <w:t xml:space="preserve">Change nothing. Call the supplier on the phone number already on file to confirm, then pass it to the finance manager.</w:t>
            </w:r>
          </w:p>
        </w:tc>
        <w:tc>
          <w:tcPr>
            <w:tcW w:w="2217" w:type="dxa"/>
          </w:tcPr>
          <w:p>
            <w:pPr>
              <w:pStyle w:val="TableText"/>
            </w:pPr>
            <w:r>
              <w:t xml:space="preserve">Finance manager</w:t>
            </w:r>
          </w:p>
        </w:tc>
      </w:tr>
      <w:tr>
        <w:trPr>
          <w:trHeight w:val="400" w:hRule="atLeast"/>
        </w:trPr>
        <w:tc>
          <w:tcPr>
            <w:tcW w:w="3226" w:type="dxa"/>
          </w:tcPr>
          <w:p>
            <w:pPr>
              <w:pStyle w:val="TableText"/>
            </w:pPr>
            <w:r>
              <w:t xml:space="preserve">The invoice is overdue or marked urgent</w:t>
            </w:r>
          </w:p>
        </w:tc>
        <w:tc>
          <w:tcPr>
            <w:tcW w:w="4637" w:type="dxa"/>
          </w:tcPr>
          <w:p>
            <w:pPr>
              <w:pStyle w:val="TableText"/>
            </w:pPr>
            <w:r>
              <w:t xml:space="preserve">Process it first and tell the finance manager before the next payment run.</w:t>
            </w:r>
          </w:p>
        </w:tc>
        <w:tc>
          <w:tcPr>
            <w:tcW w:w="2217" w:type="dxa"/>
          </w:tcPr>
          <w:p>
            <w:pPr>
              <w:pStyle w:val="TableText"/>
            </w:pPr>
            <w:r>
              <w:t xml:space="preserve">Finance manager</w:t>
            </w:r>
          </w:p>
        </w:tc>
      </w:tr>
    </w:tbl>
    <w:p>
      <w:pPr>
        <w:pStyle w:val="Heading1"/>
      </w:pPr>
      <w:r>
        <w:t xml:space="preserve">8. Safety, quality and compliance notes</w:t>
      </w:r>
    </w:p>
    <w:p>
      <w:pPr>
        <w:pStyle w:val="ListBullet"/>
        <w:numPr>
          <w:ilvl w:val="0"/>
          <w:numId w:val="1"/>
        </w:numPr>
      </w:pPr>
      <w:r>
        <w:t xml:space="preserve">Two different people must enter and approve every invoice.</w:t>
      </w:r>
    </w:p>
    <w:p>
      <w:pPr>
        <w:pStyle w:val="ListBullet"/>
        <w:numPr>
          <w:ilvl w:val="0"/>
          <w:numId w:val="1"/>
        </w:numPr>
      </w:pPr>
      <w:r>
        <w:t xml:space="preserve">Requests to change bank details are a common fraud route. Never accept one by email alone.</w:t>
      </w:r>
    </w:p>
    <w:p>
      <w:pPr>
        <w:pStyle w:val="ListBullet"/>
        <w:numPr>
          <w:ilvl w:val="0"/>
          <w:numId w:val="1"/>
        </w:numPr>
      </w:pPr>
      <w:r>
        <w:t xml:space="preserve">Keep invoices and approval records for as long as your tax and audit rules require.</w:t>
      </w:r>
    </w:p>
    <w:p>
      <w:pPr>
        <w:pStyle w:val="ListBullet"/>
        <w:numPr>
          <w:ilvl w:val="0"/>
          <w:numId w:val="1"/>
        </w:numPr>
      </w:pPr>
      <w:r>
        <w:t xml:space="preserve">Do not forward invoices that show bank details outside the finance team.</w:t>
      </w:r>
    </w:p>
    <w:p>
      <w:pPr>
        <w:pStyle w:val="Heading1"/>
      </w:pPr>
      <w:r>
        <w:t xml:space="preserve">9. Related documents</w:t>
      </w:r>
    </w:p>
    <w:p>
      <w:pPr>
        <w:pStyle w:val="ListBullet"/>
        <w:numPr>
          <w:ilvl w:val="0"/>
          <w:numId w:val="1"/>
        </w:numPr>
      </w:pPr>
      <w:r>
        <w:t xml:space="preserve">Purchasing policy (approval limits and price tolerance)</w:t>
      </w:r>
    </w:p>
    <w:p>
      <w:pPr>
        <w:pStyle w:val="ListBullet"/>
        <w:numPr>
          <w:ilvl w:val="0"/>
          <w:numId w:val="1"/>
        </w:numPr>
      </w:pPr>
      <w:r>
        <w:t xml:space="preserve">SOP-FIN-002: Add or change a supplier</w:t>
      </w:r>
    </w:p>
    <w:p>
      <w:pPr>
        <w:pStyle w:val="ListBullet"/>
        <w:numPr>
          <w:ilvl w:val="0"/>
          <w:numId w:val="1"/>
        </w:numPr>
      </w:pPr>
      <w:r>
        <w:t xml:space="preserve">SOP-FIN-006: Run the weekly payment run</w:t>
      </w:r>
    </w:p>
    <w:p>
      <w:pPr>
        <w:pStyle w:val="ListBullet"/>
        <w:numPr>
          <w:ilvl w:val="0"/>
          <w:numId w:val="1"/>
        </w:numPr>
      </w:pPr>
      <w:r>
        <w:t xml:space="preserve">Video walkthrough of steps 2 to 5 in the accounting system</w:t>
      </w:r>
    </w:p>
    <w:p>
      <w:pPr>
        <w:pStyle w:val="Heading1"/>
      </w:pPr>
      <w:r>
        <w:t xml:space="preserve">10. Revision history</w:t>
      </w:r>
    </w:p>
    <w:tbl>
      <w:tblPr>
        <w:tblStyle w:val="SopTable"/>
        <w:tblW w:w="10080" w:type="dxa"/>
        <w:tblBorders>
          <w:top w:val="single" w:sz="4" w:space="0" w:color="C9C5EA"/>
          <w:left w:val="single" w:sz="4" w:space="0" w:color="C9C5EA"/>
          <w:bottom w:val="single" w:sz="4" w:space="0" w:color="C9C5EA"/>
          <w:right w:val="single" w:sz="4" w:space="0" w:color="C9C5EA"/>
          <w:insideH w:val="single" w:sz="4" w:space="0" w:color="C9C5EA"/>
          <w:insideV w:val="single" w:sz="4" w:space="0" w:color="C9C5EA"/>
        </w:tblBorders>
        <w:tblLayout w:type="fixed"/>
        <w:tblCellMar>
          <w:top w:w="60" w:type="dxa"/>
          <w:left w:w="100" w:type="dxa"/>
          <w:bottom w:w="60" w:type="dxa"/>
          <w:right w:w="100" w:type="dxa"/>
        </w:tblCellMar>
        <w:tblLook w:val="04A0" w:firstRow="1" w:lastRow="0" w:firstColumn="0" w:lastColumn="0" w:noHBand="1" w:noVBand="1"/>
      </w:tblPr>
      <w:tblGrid>
        <w:gridCol w:w="1210"/>
        <w:gridCol w:w="1714"/>
        <w:gridCol w:w="4939"/>
        <w:gridCol w:w="2217"/>
      </w:tblGrid>
      <w:tr>
        <w:trPr>
          <w:tblHeader/>
        </w:trPr>
        <w:tc>
          <w:tcPr>
            <w:tcW w:w="1210" w:type="dxa"/>
            <w:shd w:val="clear" w:color="auto" w:fill="EEECFB"/>
          </w:tcPr>
          <w:p>
            <w:pPr>
              <w:pStyle w:val="TableText"/>
            </w:pPr>
            <w:r>
              <w:rPr>
                <w:b/>
              </w:rPr>
              <w:t xml:space="preserve">Version</w:t>
            </w:r>
          </w:p>
        </w:tc>
        <w:tc>
          <w:tcPr>
            <w:tcW w:w="1714" w:type="dxa"/>
            <w:shd w:val="clear" w:color="auto" w:fill="EEECFB"/>
          </w:tcPr>
          <w:p>
            <w:pPr>
              <w:pStyle w:val="TableText"/>
            </w:pPr>
            <w:r>
              <w:rPr>
                <w:b/>
              </w:rPr>
              <w:t xml:space="preserve">Date</w:t>
            </w:r>
          </w:p>
        </w:tc>
        <w:tc>
          <w:tcPr>
            <w:tcW w:w="4939" w:type="dxa"/>
            <w:shd w:val="clear" w:color="auto" w:fill="EEECFB"/>
          </w:tcPr>
          <w:p>
            <w:pPr>
              <w:pStyle w:val="TableText"/>
            </w:pPr>
            <w:r>
              <w:rPr>
                <w:b/>
              </w:rPr>
              <w:t xml:space="preserve">What changed</w:t>
            </w:r>
          </w:p>
        </w:tc>
        <w:tc>
          <w:tcPr>
            <w:tcW w:w="2217" w:type="dxa"/>
            <w:shd w:val="clear" w:color="auto" w:fill="EEECFB"/>
          </w:tcPr>
          <w:p>
            <w:pPr>
              <w:pStyle w:val="TableText"/>
            </w:pPr>
            <w:r>
              <w:rPr>
                <w:b/>
              </w:rPr>
              <w:t xml:space="preserve">Changed by</w:t>
            </w:r>
          </w:p>
        </w:tc>
      </w:tr>
      <w:tr>
        <w:trPr>
          <w:trHeight w:val="400" w:hRule="atLeast"/>
        </w:trPr>
        <w:tc>
          <w:tcPr>
            <w:tcW w:w="1210" w:type="dxa"/>
          </w:tcPr>
          <w:p>
            <w:pPr>
              <w:pStyle w:val="TableText"/>
            </w:pPr>
            <w:r>
              <w:t xml:space="preserve">1.0</w:t>
            </w:r>
          </w:p>
        </w:tc>
        <w:tc>
          <w:tcPr>
            <w:tcW w:w="1714" w:type="dxa"/>
          </w:tcPr>
          <w:p>
            <w:pPr>
              <w:pStyle w:val="TableText"/>
            </w:pPr>
            <w:r>
              <w:t xml:space="preserve">2025-03-03</w:t>
            </w:r>
          </w:p>
        </w:tc>
        <w:tc>
          <w:tcPr>
            <w:tcW w:w="4939" w:type="dxa"/>
          </w:tcPr>
          <w:p>
            <w:pPr>
              <w:pStyle w:val="TableText"/>
            </w:pPr>
            <w:r>
              <w:t xml:space="preserve">First version</w:t>
            </w:r>
          </w:p>
        </w:tc>
        <w:tc>
          <w:tcPr>
            <w:tcW w:w="2217" w:type="dxa"/>
          </w:tcPr>
          <w:p>
            <w:pPr>
              <w:pStyle w:val="TableText"/>
            </w:pPr>
            <w:r>
              <w:t xml:space="preserve">AP lead</w:t>
            </w:r>
          </w:p>
        </w:tc>
      </w:tr>
      <w:tr>
        <w:trPr>
          <w:trHeight w:val="400" w:hRule="atLeast"/>
        </w:trPr>
        <w:tc>
          <w:tcPr>
            <w:tcW w:w="1210" w:type="dxa"/>
          </w:tcPr>
          <w:p>
            <w:pPr>
              <w:pStyle w:val="TableText"/>
            </w:pPr>
            <w:r>
              <w:t xml:space="preserve">2.0</w:t>
            </w:r>
          </w:p>
        </w:tc>
        <w:tc>
          <w:tcPr>
            <w:tcW w:w="1714" w:type="dxa"/>
          </w:tcPr>
          <w:p>
            <w:pPr>
              <w:pStyle w:val="TableText"/>
            </w:pPr>
            <w:r>
              <w:t xml:space="preserve">2026-04-14</w:t>
            </w:r>
          </w:p>
        </w:tc>
        <w:tc>
          <w:tcPr>
            <w:tcW w:w="4939" w:type="dxa"/>
          </w:tcPr>
          <w:p>
            <w:pPr>
              <w:pStyle w:val="TableText"/>
            </w:pPr>
            <w:r>
              <w:t xml:space="preserve">Added the bank-details check (step 4) and its exception, to block payment-redirection fraud</w:t>
            </w:r>
          </w:p>
        </w:tc>
        <w:tc>
          <w:tcPr>
            <w:tcW w:w="2217" w:type="dxa"/>
          </w:tcPr>
          <w:p>
            <w:pPr>
              <w:pStyle w:val="TableText"/>
            </w:pPr>
            <w:r>
              <w:t xml:space="preserve">Finance manager</w:t>
            </w:r>
          </w:p>
        </w:tc>
      </w:tr>
      <w:tr>
        <w:trPr>
          <w:trHeight w:val="400" w:hRule="atLeast"/>
        </w:trPr>
        <w:tc>
          <w:tcPr>
            <w:tcW w:w="1210" w:type="dxa"/>
          </w:tcPr>
          <w:p>
            <w:pPr>
              <w:pStyle w:val="TableText"/>
            </w:pPr>
            <w:r>
              <w:t xml:space="preserve">2.1</w:t>
            </w:r>
          </w:p>
        </w:tc>
        <w:tc>
          <w:tcPr>
            <w:tcW w:w="1714" w:type="dxa"/>
          </w:tcPr>
          <w:p>
            <w:pPr>
              <w:pStyle w:val="TableText"/>
            </w:pPr>
            <w:r>
              <w:t xml:space="preserve">2026-10-01</w:t>
            </w:r>
          </w:p>
        </w:tc>
        <w:tc>
          <w:tcPr>
            <w:tcW w:w="4939" w:type="dxa"/>
          </w:tcPr>
          <w:p>
            <w:pPr>
              <w:pStyle w:val="TableText"/>
            </w:pPr>
            <w:r>
              <w:t xml:space="preserve">Raised the budget holder's approval limit to $5,000</w:t>
            </w:r>
          </w:p>
        </w:tc>
        <w:tc>
          <w:tcPr>
            <w:tcW w:w="2217" w:type="dxa"/>
          </w:tcPr>
          <w:p>
            <w:pPr>
              <w:pStyle w:val="TableText"/>
            </w:pPr>
            <w:r>
              <w:t xml:space="preserve">Finance manager</w:t>
            </w:r>
          </w:p>
        </w:tc>
      </w:tr>
    </w:tbl>
    <w:p>
      <w:pPr>
        <w:pStyle w:val="Heading1"/>
      </w:pPr>
      <w:r>
        <w:t xml:space="preserve">11. Approvals</w:t>
      </w:r>
    </w:p>
    <w:tbl>
      <w:tblPr>
        <w:tblStyle w:val="SopTable"/>
        <w:tblW w:w="10080" w:type="dxa"/>
        <w:tblBorders>
          <w:top w:val="single" w:sz="4" w:space="0" w:color="C9C5EA"/>
          <w:left w:val="single" w:sz="4" w:space="0" w:color="C9C5EA"/>
          <w:bottom w:val="single" w:sz="4" w:space="0" w:color="C9C5EA"/>
          <w:right w:val="single" w:sz="4" w:space="0" w:color="C9C5EA"/>
          <w:insideH w:val="single" w:sz="4" w:space="0" w:color="C9C5EA"/>
          <w:insideV w:val="single" w:sz="4" w:space="0" w:color="C9C5EA"/>
        </w:tblBorders>
        <w:tblLayout w:type="fixed"/>
        <w:tblCellMar>
          <w:top w:w="60" w:type="dxa"/>
          <w:left w:w="100" w:type="dxa"/>
          <w:bottom w:w="60" w:type="dxa"/>
          <w:right w:w="100" w:type="dxa"/>
        </w:tblCellMar>
        <w:tblLook w:val="04A0" w:firstRow="1" w:lastRow="0" w:firstColumn="0" w:lastColumn="0" w:noHBand="1" w:noVBand="1"/>
      </w:tblPr>
      <w:tblGrid>
        <w:gridCol w:w="2218"/>
        <w:gridCol w:w="2621"/>
        <w:gridCol w:w="3226"/>
        <w:gridCol w:w="2015"/>
      </w:tblGrid>
      <w:tr>
        <w:trPr>
          <w:tblHeader/>
        </w:trPr>
        <w:tc>
          <w:tcPr>
            <w:tcW w:w="2218" w:type="dxa"/>
            <w:shd w:val="clear" w:color="auto" w:fill="EEECFB"/>
          </w:tcPr>
          <w:p>
            <w:pPr>
              <w:pStyle w:val="TableText"/>
            </w:pPr>
            <w:r>
              <w:rPr>
                <w:b/>
              </w:rPr>
              <w:t xml:space="preserve">Role</w:t>
            </w:r>
          </w:p>
        </w:tc>
        <w:tc>
          <w:tcPr>
            <w:tcW w:w="2621" w:type="dxa"/>
            <w:shd w:val="clear" w:color="auto" w:fill="EEECFB"/>
          </w:tcPr>
          <w:p>
            <w:pPr>
              <w:pStyle w:val="TableText"/>
            </w:pPr>
            <w:r>
              <w:rPr>
                <w:b/>
              </w:rPr>
              <w:t xml:space="preserve">Name</w:t>
            </w:r>
          </w:p>
        </w:tc>
        <w:tc>
          <w:tcPr>
            <w:tcW w:w="3226" w:type="dxa"/>
            <w:shd w:val="clear" w:color="auto" w:fill="EEECFB"/>
          </w:tcPr>
          <w:p>
            <w:pPr>
              <w:pStyle w:val="TableText"/>
            </w:pPr>
            <w:r>
              <w:rPr>
                <w:b/>
              </w:rPr>
              <w:t xml:space="preserve">Signature</w:t>
            </w:r>
          </w:p>
        </w:tc>
        <w:tc>
          <w:tcPr>
            <w:tcW w:w="2015" w:type="dxa"/>
            <w:shd w:val="clear" w:color="auto" w:fill="EEECFB"/>
          </w:tcPr>
          <w:p>
            <w:pPr>
              <w:pStyle w:val="TableText"/>
            </w:pPr>
            <w:r>
              <w:rPr>
                <w:b/>
              </w:rPr>
              <w:t xml:space="preserve">Date</w:t>
            </w:r>
          </w:p>
        </w:tc>
      </w:tr>
      <w:tr>
        <w:trPr>
          <w:trHeight w:val="560" w:hRule="atLeast"/>
        </w:trPr>
        <w:tc>
          <w:tcPr>
            <w:tcW w:w="2218" w:type="dxa"/>
          </w:tcPr>
          <w:p>
            <w:pPr>
              <w:pStyle w:val="TableText"/>
            </w:pPr>
            <w:r>
              <w:t xml:space="preserve">Prepared by</w:t>
            </w:r>
          </w:p>
        </w:tc>
        <w:tc>
          <w:tcPr>
            <w:tcW w:w="2621" w:type="dxa"/>
          </w:tcPr>
          <w:p>
            <w:pPr>
              <w:pStyle w:val="TableText"/>
            </w:pPr>
            <w:r>
              <w:t xml:space="preserve">Jordan Lee, AP lead</w:t>
            </w:r>
          </w:p>
        </w:tc>
        <w:tc>
          <w:tcPr>
            <w:tcW w:w="3226" w:type="dxa"/>
          </w:tcPr>
          <w:p>
            <w:pPr>
              <w:pStyle w:val="TableText"/>
            </w:pPr>
          </w:p>
        </w:tc>
        <w:tc>
          <w:tcPr>
            <w:tcW w:w="2015" w:type="dxa"/>
          </w:tcPr>
          <w:p>
            <w:pPr>
              <w:pStyle w:val="TableText"/>
            </w:pPr>
            <w:r>
              <w:t xml:space="preserve">2026-09-24</w:t>
            </w:r>
          </w:p>
        </w:tc>
      </w:tr>
      <w:tr>
        <w:trPr>
          <w:trHeight w:val="560" w:hRule="atLeast"/>
        </w:trPr>
        <w:tc>
          <w:tcPr>
            <w:tcW w:w="2218" w:type="dxa"/>
          </w:tcPr>
          <w:p>
            <w:pPr>
              <w:pStyle w:val="TableText"/>
            </w:pPr>
            <w:r>
              <w:t xml:space="preserve">Reviewed by</w:t>
            </w:r>
          </w:p>
        </w:tc>
        <w:tc>
          <w:tcPr>
            <w:tcW w:w="2621" w:type="dxa"/>
          </w:tcPr>
          <w:p>
            <w:pPr>
              <w:pStyle w:val="TableText"/>
            </w:pPr>
            <w:r>
              <w:t xml:space="preserve">Sam Patel, purchasing lead</w:t>
            </w:r>
          </w:p>
        </w:tc>
        <w:tc>
          <w:tcPr>
            <w:tcW w:w="3226" w:type="dxa"/>
          </w:tcPr>
          <w:p>
            <w:pPr>
              <w:pStyle w:val="TableText"/>
            </w:pPr>
          </w:p>
        </w:tc>
        <w:tc>
          <w:tcPr>
            <w:tcW w:w="2015" w:type="dxa"/>
          </w:tcPr>
          <w:p>
            <w:pPr>
              <w:pStyle w:val="TableText"/>
            </w:pPr>
            <w:r>
              <w:t xml:space="preserve">2026-09-26</w:t>
            </w:r>
          </w:p>
        </w:tc>
      </w:tr>
      <w:tr>
        <w:trPr>
          <w:trHeight w:val="560" w:hRule="atLeast"/>
        </w:trPr>
        <w:tc>
          <w:tcPr>
            <w:tcW w:w="2218" w:type="dxa"/>
          </w:tcPr>
          <w:p>
            <w:pPr>
              <w:pStyle w:val="TableText"/>
            </w:pPr>
            <w:r>
              <w:t xml:space="preserve">Approved by</w:t>
            </w:r>
          </w:p>
        </w:tc>
        <w:tc>
          <w:tcPr>
            <w:tcW w:w="2621" w:type="dxa"/>
          </w:tcPr>
          <w:p>
            <w:pPr>
              <w:pStyle w:val="TableText"/>
            </w:pPr>
            <w:r>
              <w:t xml:space="preserve">Alex Kim, finance manager</w:t>
            </w:r>
          </w:p>
        </w:tc>
        <w:tc>
          <w:tcPr>
            <w:tcW w:w="3226" w:type="dxa"/>
          </w:tcPr>
          <w:p>
            <w:pPr>
              <w:pStyle w:val="TableText"/>
            </w:pPr>
          </w:p>
        </w:tc>
        <w:tc>
          <w:tcPr>
            <w:tcW w:w="2015" w:type="dxa"/>
          </w:tcPr>
          <w:p>
            <w:pPr>
              <w:pStyle w:val="TableText"/>
            </w:pPr>
            <w:r>
              <w:t xml:space="preserve">2026-09-29</w:t>
            </w:r>
          </w:p>
        </w:tc>
      </w:tr>
    </w:tbl>
    <w:p>
      <w:pPr>
        <w:pStyle w:val="EndNote"/>
      </w:pPr>
      <w:r>
        <w:t xml:space="preserve">Free SOP template from stepvideo.io/blog/sop-template. Copy it, change it and use it however you like.</w:t>
      </w:r>
    </w:p>
    <w:sectPr>
      <w:footerReference w:type="default" r:id="rId4"/>
      <w:pgSz w:w="12240" w:h="15840"/>
      <w:pgMar w:top="1080" w:right="1080" w:bottom="1080" w:left="1080" w:header="720" w:footer="540" w:gutter="0"/>
    </w:sectPr>
  </w:body>
</w:document>
</file>

<file path=word/footer1.xml><?xml version="1.0" encoding="utf-8"?>
<w:ftr xmlns:w="http://schemas.openxmlformats.org/wordprocessingml/2006/main" xmlns:r="http://schemas.openxmlformats.org/officeDocument/2006/relationships">
  <w:p>
    <w:pPr>
      <w:pStyle w:val="Footer"/>
      <w:tabs>
        <w:tab w:val="right" w:pos="10080"/>
      </w:tabs>
    </w:pPr>
    <w:r>
      <w:t xml:space="preserve">SOP-FIN-004 · Version 2.1</w:t>
    </w:r>
    <w:r>
      <w:tab/>
    </w:r>
    <w:r>
      <w:t xml:space="preserve">Page </w:t>
    </w:r>
    <w:fldSimple w:instr=" PAGE ">
      <w:r>
        <w:t>1</w:t>
      </w:r>
    </w:fldSimple>
    <w:r>
      <w:t xml:space="preserve"> of </w:t>
    </w:r>
    <w:fldSimple w:instr=" NUMPAGES ">
      <w:r>
        <w:t>1</w:t>
      </w:r>
    </w:fldSimple>
  </w:p>
</w:ftr>
</file>

<file path=word/numbering.xml><?xml version="1.0" encoding="utf-8"?>
<w:numbering xmlns:w="http://schemas.openxmlformats.org/wordprocessingml/2006/main" xmlns:r="http://schemas.openxmlformats.org/officeDocument/2006/relationships">
  <w:abstractNum w:abstractNumId="0">
    <w:multiLevelType w:val="singleLevel"/>
    <w:lvl w:ilvl="0">
      <w:start w:val="1"/>
      <w:numFmt w:val="bullet"/>
      <w:lvlText w:val="•"/>
      <w:lvlJc w:val="left"/>
      <w:pPr>
        <w:ind w:left="360" w:hanging="360"/>
      </w:pPr>
      <w:rPr>
        <w:rFonts w:ascii="Calibri" w:hAnsi="Calibri"/>
      </w:rPr>
    </w:lvl>
  </w:abstractNum>
  <w:num w:numId="1">
    <w:abstractNumId w:val="0"/>
  </w:num>
</w:numbering>
</file>

<file path=word/settings.xml><?xml version="1.0" encoding="utf-8"?>
<w:settings xmlns:w="http://schemas.openxmlformats.org/wordprocessingml/2006/main" xmlns:r="http://schemas.openxmlformats.org/officeDocument/2006/relationships">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color w:val="1F1D2B"/>
        <w:sz w:val="21"/>
        <w:szCs w:val="21"/>
        <w:lang w:val="en-US"/>
      </w:rPr>
    </w:rPrDefault>
    <w:pPrDefault>
      <w:pPr>
        <w:spacing w:after="100" w:line="264" w:lineRule="auto"/>
      </w:pPr>
    </w:pPrDefault>
  </w:docDefaults>
  <w:style w:type="paragraph" w:default="1" w:styleId="Normal">
    <w:name w:val="Normal"/>
    <w:qFormat/>
    <w:rPr>
      <w:rFonts w:ascii="Calibri" w:hAnsi="Calibri" w:eastAsia="Calibri" w:cs="Calibri"/>
    </w:rPr>
  </w:style>
  <w:style w:type="paragraph" w:styleId="Title">
    <w:name w:val="Title"/>
    <w:basedOn w:val="Normal"/>
    <w:next w:val="Normal"/>
    <w:qFormat/>
    <w:pPr>
      <w:spacing w:after="40"/>
    </w:pPr>
    <w:rPr>
      <w:b/>
      <w:color w:val="4A3BC9"/>
      <w:sz w:val="40"/>
      <w:szCs w:val="40"/>
    </w:rPr>
  </w:style>
  <w:style w:type="paragraph" w:styleId="Subtitle">
    <w:name w:val="Subtitle"/>
    <w:basedOn w:val="Normal"/>
    <w:next w:val="Normal"/>
    <w:qFormat/>
    <w:pPr>
      <w:spacing w:after="200"/>
    </w:pPr>
    <w:rPr>
      <w:sz w:val="28"/>
      <w:szCs w:val="28"/>
    </w:rPr>
  </w:style>
  <w:style w:type="paragraph" w:styleId="Heading1">
    <w:name w:val="heading 1"/>
    <w:basedOn w:val="Normal"/>
    <w:next w:val="Normal"/>
    <w:qFormat/>
    <w:pPr>
      <w:keepNext/>
      <w:keepLines/>
      <w:spacing w:before="320" w:after="80"/>
      <w:outlineLvl w:val="0"/>
    </w:pPr>
    <w:rPr>
      <w:b/>
      <w:color w:val="4A3BC9"/>
      <w:sz w:val="26"/>
      <w:szCs w:val="26"/>
    </w:rPr>
  </w:style>
  <w:style w:type="paragraph" w:styleId="Guidance">
    <w:name w:val="Guidance"/>
    <w:basedOn w:val="Normal"/>
    <w:next w:val="Normal"/>
    <w:qFormat/>
    <w:pPr>
      <w:keepNext/>
      <w:spacing w:after="120"/>
    </w:pPr>
    <w:rPr>
      <w:i/>
      <w:color w:val="6E6A86"/>
      <w:sz w:val="19"/>
      <w:szCs w:val="19"/>
    </w:rPr>
  </w:style>
  <w:style w:type="paragraph" w:styleId="Banner">
    <w:name w:val="Example banner"/>
    <w:basedOn w:val="Normal"/>
    <w:next w:val="Normal"/>
    <w:qFormat/>
    <w:pPr>
      <w:shd w:val="clear" w:color="auto" w:fill="FFF6DB"/>
      <w:spacing w:before="60" w:after="200"/>
    </w:pPr>
    <w:rPr>
      <w:sz w:val="19"/>
      <w:szCs w:val="19"/>
    </w:rPr>
  </w:style>
  <w:style w:type="paragraph" w:styleId="ListBullet">
    <w:name w:val="List Bullet"/>
    <w:basedOn w:val="Normal"/>
    <w:next w:val="Normal"/>
    <w:qFormat/>
    <w:pPr>
      <w:spacing w:after="60"/>
      <w:ind w:left="360" w:hanging="360"/>
    </w:pPr>
    <w:rPr/>
  </w:style>
  <w:style w:type="paragraph" w:styleId="TableText">
    <w:name w:val="Table text"/>
    <w:basedOn w:val="Normal"/>
    <w:next w:val="Normal"/>
    <w:qFormat/>
    <w:pPr>
      <w:spacing w:before="20" w:after="20" w:line="252" w:lineRule="auto"/>
    </w:pPr>
    <w:rPr>
      <w:sz w:val="19"/>
      <w:szCs w:val="19"/>
    </w:rPr>
  </w:style>
  <w:style w:type="paragraph" w:styleId="EndNote">
    <w:name w:val="Template note"/>
    <w:basedOn w:val="Normal"/>
    <w:next w:val="Normal"/>
    <w:qFormat/>
    <w:pPr>
      <w:spacing w:before="480"/>
    </w:pPr>
    <w:rPr>
      <w:color w:val="6E6A86"/>
      <w:sz w:val="16"/>
      <w:szCs w:val="16"/>
    </w:rPr>
  </w:style>
  <w:style w:type="paragraph" w:styleId="Footer">
    <w:name w:val="footer"/>
    <w:basedOn w:val="Normal"/>
    <w:next w:val="Normal"/>
    <w:qFormat/>
    <w:pPr>
      <w:spacing w:after="0"/>
    </w:pPr>
    <w:rPr>
      <w:color w:val="6E6A86"/>
      <w:sz w:val="16"/>
      <w:szCs w:val="16"/>
    </w:rPr>
  </w:style>
  <w:style w:type="table" w:styleId="SopTable">
    <w:name w:val="SOP table"/>
    <w:tblPr>
      <w:tblBorders>
        <w:top w:val="single" w:sz="4" w:space="0" w:color="C9C5EA"/>
        <w:left w:val="single" w:sz="4" w:space="0" w:color="C9C5EA"/>
        <w:bottom w:val="single" w:sz="4" w:space="0" w:color="C9C5EA"/>
        <w:right w:val="single" w:sz="4" w:space="0" w:color="C9C5EA"/>
        <w:insideH w:val="single" w:sz="4" w:space="0" w:color="C9C5EA"/>
        <w:insideV w:val="single" w:sz="4" w:space="0" w:color="C9C5EA"/>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SOP example: process a supplier invoice for payment</dc:title>
  <dc:creator>stepvideo.io</dc:creator>
</cp:coreProperties>
</file>