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Work Instruction</w:t>
      </w:r>
    </w:p>
    <w:p>
      <w:pPr>
        <w:pStyle w:val="Subtitle"/>
      </w:pPr>
      <w:r>
        <w:t xml:space="preserve">Escalate a customer bug report to engineering</w:t>
      </w:r>
    </w:p>
    <w:p>
      <w:pPr>
        <w:pStyle w:val="Banner"/>
      </w:pPr>
      <w:r>
        <w:t xml:space="preserve">Filled-in example. The document numbers, systems, tag names and dates are placeholders, chosen to show the level of detail each section needs.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1714"/>
        <w:gridCol w:w="3326"/>
        <w:gridCol w:w="1714"/>
        <w:gridCol w:w="3326"/>
      </w:tblGrid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WI number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WI-SUP-012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Version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1.1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Team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Customer support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Related SOP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SOP-SUP-003, Handle a customer-reported problem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Owner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Support team lead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Effective date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2026-10-01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Status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Approved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Next review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2027-04-01</w:t>
            </w:r>
          </w:p>
        </w:tc>
      </w:tr>
    </w:tbl>
    <w:p>
      <w:pPr/>
    </w:p>
    <w:p>
      <w:pPr>
        <w:pStyle w:val="Heading1"/>
      </w:pPr>
      <w:r>
        <w:t xml:space="preserve">1. Task and result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Task:</w:t>
      </w:r>
      <w:r>
        <w:t xml:space="preserve"> escalate a problem a customer reported to engineering, as a bug they can reproduce.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Result:</w:t>
      </w:r>
      <w:r>
        <w:t xml:space="preserve"> one bug in the bug tracker with steps to reproduce and evidence, linked to the customer's ticket, and the customer told what happens next.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Starts when:</w:t>
      </w:r>
      <w:r>
        <w:t xml:space="preserve"> you believe a ticket describes a fault in the product, not a question or a feature request.</w:t>
      </w:r>
    </w:p>
    <w:p>
      <w:pPr>
        <w:pStyle w:val="Heading1"/>
      </w:pPr>
      <w:r>
        <w:t xml:space="preserve">2. Who does this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Performed by:</w:t>
      </w:r>
      <w:r>
        <w:t xml:space="preserve"> support agent.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Needs:</w:t>
      </w:r>
      <w:r>
        <w:t xml:space="preserve"> access to the help desk, the bug tracker and the support test account.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Ask for help:</w:t>
      </w:r>
      <w:r>
        <w:t xml:space="preserve"> the support team lead, in the team's support channel.</w:t>
      </w:r>
    </w:p>
    <w:p>
      <w:pPr>
        <w:pStyle w:val="Heading1"/>
      </w:pPr>
      <w:r>
        <w:t xml:space="preserve">3. Before you start</w:t>
      </w:r>
    </w:p>
    <w:p>
      <w:pPr>
        <w:pStyle w:val="ListBullet"/>
        <w:numPr>
          <w:ilvl w:val="0"/>
          <w:numId w:val="1"/>
        </w:numPr>
      </w:pPr>
      <w:r>
        <w:t xml:space="preserve">The ticket is open and assigned to you.</w:t>
      </w:r>
    </w:p>
    <w:p>
      <w:pPr>
        <w:pStyle w:val="ListBullet"/>
        <w:numPr>
          <w:ilvl w:val="0"/>
          <w:numId w:val="1"/>
        </w:numPr>
      </w:pPr>
      <w:r>
        <w:t xml:space="preserve">You can sign in to the support test account. Never reproduce a problem in a customer's live account.</w:t>
      </w:r>
    </w:p>
    <w:p>
      <w:pPr>
        <w:pStyle w:val="ListBullet"/>
        <w:numPr>
          <w:ilvl w:val="0"/>
          <w:numId w:val="1"/>
        </w:numPr>
      </w:pPr>
      <w:r>
        <w:t xml:space="preserve">The severity table in SOP-SUP-003 is open in another tab.</w:t>
      </w:r>
    </w:p>
    <w:p>
      <w:pPr>
        <w:pStyle w:val="Heading1"/>
      </w:pPr>
      <w:r>
        <w:t xml:space="preserve">4. Safety and warnings</w:t>
      </w:r>
    </w:p>
    <w:p>
      <w:pPr>
        <w:pStyle w:val="ListBullet"/>
        <w:numPr>
          <w:ilvl w:val="0"/>
          <w:numId w:val="1"/>
        </w:numPr>
      </w:pPr>
      <w:r>
        <w:t xml:space="preserve">Do not copy passwords, payment details or other personal data into the bug. Engineering does not need them to reproduce a fault.</w:t>
      </w:r>
    </w:p>
    <w:p>
      <w:pPr>
        <w:pStyle w:val="ListBullet"/>
        <w:numPr>
          <w:ilvl w:val="0"/>
          <w:numId w:val="1"/>
        </w:numPr>
      </w:pPr>
      <w:r>
        <w:t xml:space="preserve">If customer data is lost or exposed, or the problem looks like a security hole, stop and use the incident route in section 6, not a normal bug.</w:t>
      </w:r>
    </w:p>
    <w:p>
      <w:pPr>
        <w:pStyle w:val="Heading1"/>
      </w:pPr>
      <w:r>
        <w:t xml:space="preserve">5. Steps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806"/>
        <w:gridCol w:w="4032"/>
        <w:gridCol w:w="2621"/>
        <w:gridCol w:w="2621"/>
      </w:tblGrid>
      <w:tr>
        <w:trPr>
          <w:tblHeader/>
        </w:trPr>
        <w:tc>
          <w:tcPr>
            <w:tcW w:w="806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Step</w:t>
            </w:r>
          </w:p>
        </w:tc>
        <w:tc>
          <w:tcPr>
            <w:tcW w:w="403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Action</w:t>
            </w:r>
          </w:p>
        </w:tc>
        <w:tc>
          <w:tcPr>
            <w:tcW w:w="2621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Key point</w:t>
            </w:r>
          </w:p>
        </w:tc>
        <w:tc>
          <w:tcPr>
            <w:tcW w:w="2621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Check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Open the ticket and read it to the end, attachments included.</w:t>
            </w:r>
          </w:p>
        </w:tc>
        <w:tc>
          <w:tcPr>
            <w:tcW w:w="2621" w:type="dxa"/>
          </w:tcPr>
          <w:p>
            <w:pPr>
              <w:pStyle w:val="TableText"/>
            </w:pPr>
            <w:r>
              <w:t xml:space="preserve">One ticket, one problem. If it describes two, split it first.</w:t>
            </w:r>
          </w:p>
        </w:tc>
        <w:tc>
          <w:tcPr>
            <w:tcW w:w="2621" w:type="dxa"/>
          </w:tcPr>
          <w:p>
            <w:pPr>
              <w:pStyle w:val="TableText"/>
            </w:pPr>
            <w:r>
              <w:t xml:space="preserve">You can say in one sentence what goes wrong.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Search the bug tracker for the error message, or the feature name.</w:t>
            </w:r>
          </w:p>
        </w:tc>
        <w:tc>
          <w:tcPr>
            <w:tcW w:w="2621" w:type="dxa"/>
          </w:tcPr>
          <w:p>
            <w:pPr>
              <w:pStyle w:val="TableText"/>
            </w:pPr>
            <w:r>
              <w:t xml:space="preserve">A match saves engineering a duplicate bug.</w:t>
            </w:r>
          </w:p>
        </w:tc>
        <w:tc>
          <w:tcPr>
            <w:tcW w:w="2621" w:type="dxa"/>
          </w:tcPr>
          <w:p>
            <w:pPr>
              <w:pStyle w:val="TableText"/>
            </w:pPr>
            <w:r>
              <w:t xml:space="preserve">If an open bug matches, go to step 7 and link that bug.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Sign in to the support test account and repeat the customer's steps.</w:t>
            </w:r>
          </w:p>
        </w:tc>
        <w:tc>
          <w:tcPr>
            <w:tcW w:w="2621" w:type="dxa"/>
          </w:tcPr>
          <w:p>
            <w:pPr>
              <w:pStyle w:val="TableText"/>
            </w:pPr>
            <w:r>
              <w:t xml:space="preserve">Use the customer's browser and plan type where you can.</w:t>
            </w:r>
          </w:p>
        </w:tc>
        <w:tc>
          <w:tcPr>
            <w:tcW w:w="2621" w:type="dxa"/>
          </w:tcPr>
          <w:p>
            <w:pPr>
              <w:pStyle w:val="TableText"/>
            </w:pPr>
            <w:r>
              <w:t xml:space="preserve">You see the same error or behavior. If not, see section 6.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Record the problem happening: a screen recording, or a screenshot of each step, with the page address, browser and time.</w:t>
            </w:r>
          </w:p>
        </w:tc>
        <w:tc>
          <w:tcPr>
            <w:tcW w:w="2621" w:type="dxa"/>
          </w:tcPr>
          <w:p>
            <w:pPr>
              <w:pStyle w:val="TableText"/>
            </w:pPr>
            <w:r>
              <w:t xml:space="preserve">One clean run, from the first click to the error.</w:t>
            </w:r>
          </w:p>
        </w:tc>
        <w:tc>
          <w:tcPr>
            <w:tcW w:w="2621" w:type="dxa"/>
          </w:tcPr>
          <w:p>
            <w:pPr>
              <w:pStyle w:val="TableText"/>
            </w:pPr>
            <w:r>
              <w:t xml:space="preserve">The recording shows the fault.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Create a bug from the Bug template: title, steps to reproduce, expected result, actual result. Attach the recording.</w:t>
            </w:r>
          </w:p>
        </w:tc>
        <w:tc>
          <w:tcPr>
            <w:tcW w:w="2621" w:type="dxa"/>
          </w:tcPr>
          <w:p>
            <w:pPr>
              <w:pStyle w:val="TableText"/>
            </w:pPr>
            <w:r>
              <w:t xml:space="preserve">Title it </w:t>
            </w:r>
            <w:r>
              <w:rPr>
                <w:color w:val="6E6A86"/>
              </w:rPr>
              <w:t xml:space="preserve">[Area]</w:t>
            </w:r>
            <w:r>
              <w:t xml:space="preserve">: </w:t>
            </w:r>
            <w:r>
              <w:rPr>
                <w:color w:val="6E6A86"/>
              </w:rPr>
              <w:t xml:space="preserve">[what happens]</w:t>
            </w:r>
            <w:r>
              <w:t xml:space="preserve"> when </w:t>
            </w:r>
            <w:r>
              <w:rPr>
                <w:color w:val="6E6A86"/>
              </w:rPr>
              <w:t xml:space="preserve">[action]</w:t>
            </w:r>
            <w:r>
              <w:t xml:space="preserve">.</w:t>
            </w:r>
          </w:p>
        </w:tc>
        <w:tc>
          <w:tcPr>
            <w:tcW w:w="2621" w:type="dxa"/>
          </w:tcPr>
          <w:p>
            <w:pPr>
              <w:pStyle w:val="TableText"/>
            </w:pPr>
            <w:r>
              <w:t xml:space="preserve">The bug has an ID and the status New.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Set the severity from the table in SOP-SUP-003.</w:t>
            </w:r>
          </w:p>
        </w:tc>
        <w:tc>
          <w:tcPr>
            <w:tcW w:w="2621" w:type="dxa"/>
          </w:tcPr>
          <w:p>
            <w:pPr>
              <w:pStyle w:val="TableText"/>
            </w:pPr>
            <w:r>
              <w:t xml:space="preserve">Severity is the impact on customers, not how upset this customer is.</w:t>
            </w:r>
          </w:p>
        </w:tc>
        <w:tc>
          <w:tcPr>
            <w:tcW w:w="2621" w:type="dxa"/>
          </w:tcPr>
          <w:p>
            <w:pPr>
              <w:pStyle w:val="TableText"/>
            </w:pPr>
            <w:r>
              <w:t xml:space="preserve">The Severity field is filled in.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Link the bug to the ticket and add the tag bug-escalated.</w:t>
            </w:r>
          </w:p>
        </w:tc>
        <w:tc>
          <w:tcPr>
            <w:tcW w:w="2621" w:type="dxa"/>
          </w:tcPr>
          <w:p>
            <w:pPr>
              <w:pStyle w:val="TableText"/>
            </w:pPr>
            <w:r>
              <w:t xml:space="preserve">The tag puts every open escalation in one view for the team lead.</w:t>
            </w:r>
          </w:p>
        </w:tc>
        <w:tc>
          <w:tcPr>
            <w:tcW w:w="2621" w:type="dxa"/>
          </w:tcPr>
          <w:p>
            <w:pPr>
              <w:pStyle w:val="TableText"/>
            </w:pPr>
            <w:r>
              <w:t xml:space="preserve">The ticket shows the linked bug ID.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8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Reply to the customer: the problem is reported and what happens next. Set the ticket to Pending.</w:t>
            </w:r>
          </w:p>
        </w:tc>
        <w:tc>
          <w:tcPr>
            <w:tcW w:w="2621" w:type="dxa"/>
          </w:tcPr>
          <w:p>
            <w:pPr>
              <w:pStyle w:val="TableText"/>
            </w:pPr>
            <w:r>
              <w:t xml:space="preserve">Never promise a fix date. Engineering sets it.</w:t>
            </w:r>
          </w:p>
        </w:tc>
        <w:tc>
          <w:tcPr>
            <w:tcW w:w="2621" w:type="dxa"/>
          </w:tcPr>
          <w:p>
            <w:pPr>
              <w:pStyle w:val="TableText"/>
            </w:pPr>
            <w:r>
              <w:t xml:space="preserve">The ticket status is Pending.</w:t>
            </w:r>
          </w:p>
        </w:tc>
      </w:tr>
    </w:tbl>
    <w:p>
      <w:pPr>
        <w:pStyle w:val="Heading1"/>
      </w:pPr>
      <w:r>
        <w:t xml:space="preserve">6. If something goes wrong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3226"/>
        <w:gridCol w:w="4637"/>
        <w:gridCol w:w="2217"/>
      </w:tblGrid>
      <w:tr>
        <w:trPr>
          <w:tblHeader/>
        </w:trPr>
        <w:tc>
          <w:tcPr>
            <w:tcW w:w="3226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If you see</w:t>
            </w:r>
          </w:p>
        </w:tc>
        <w:tc>
          <w:tcPr>
            <w:tcW w:w="4637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Do this</w:t>
            </w:r>
          </w:p>
        </w:tc>
        <w:tc>
          <w:tcPr>
            <w:tcW w:w="2217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Contact</w:t>
            </w:r>
          </w:p>
        </w:tc>
      </w:tr>
      <w:tr>
        <w:trPr>
          <w:trHeight w:val="400" w:hRule="atLeast"/>
        </w:trPr>
        <w:tc>
          <w:tcPr>
            <w:tcW w:w="3226" w:type="dxa"/>
          </w:tcPr>
          <w:p>
            <w:pPr>
              <w:pStyle w:val="TableText"/>
            </w:pPr>
            <w:r>
              <w:t xml:space="preserve">You cannot reproduce the problem</w:t>
            </w:r>
          </w:p>
        </w:tc>
        <w:tc>
          <w:tcPr>
            <w:tcW w:w="4637" w:type="dxa"/>
          </w:tcPr>
          <w:p>
            <w:pPr>
              <w:pStyle w:val="TableText"/>
            </w:pPr>
            <w:r>
              <w:t xml:space="preserve">Ask the customer for a screen recording, their browser and when it happened. Set the ticket to Waiting on customer.</w:t>
            </w:r>
          </w:p>
        </w:tc>
        <w:tc>
          <w:tcPr>
            <w:tcW w:w="2217" w:type="dxa"/>
          </w:tcPr>
          <w:p>
            <w:pPr>
              <w:pStyle w:val="TableText"/>
            </w:pPr>
            <w:r>
              <w:t xml:space="preserve">None until they reply</w:t>
            </w:r>
          </w:p>
        </w:tc>
      </w:tr>
      <w:tr>
        <w:trPr>
          <w:trHeight w:val="400" w:hRule="atLeast"/>
        </w:trPr>
        <w:tc>
          <w:tcPr>
            <w:tcW w:w="3226" w:type="dxa"/>
          </w:tcPr>
          <w:p>
            <w:pPr>
              <w:pStyle w:val="TableText"/>
            </w:pPr>
            <w:r>
              <w:t xml:space="preserve">Customer data is lost or exposed, or it looks like a security hole</w:t>
            </w:r>
          </w:p>
        </w:tc>
        <w:tc>
          <w:tcPr>
            <w:tcW w:w="4637" w:type="dxa"/>
          </w:tcPr>
          <w:p>
            <w:pPr>
              <w:pStyle w:val="TableText"/>
            </w:pPr>
            <w:r>
              <w:t xml:space="preserve">Stop. Do not file a normal bug. Post in the incident channel and page the on-call engineer.</w:t>
            </w:r>
          </w:p>
        </w:tc>
        <w:tc>
          <w:tcPr>
            <w:tcW w:w="2217" w:type="dxa"/>
          </w:tcPr>
          <w:p>
            <w:pPr>
              <w:pStyle w:val="TableText"/>
            </w:pPr>
            <w:r>
              <w:t xml:space="preserve">On-call engineer</w:t>
            </w:r>
          </w:p>
        </w:tc>
      </w:tr>
      <w:tr>
        <w:trPr>
          <w:trHeight w:val="400" w:hRule="atLeast"/>
        </w:trPr>
        <w:tc>
          <w:tcPr>
            <w:tcW w:w="3226" w:type="dxa"/>
          </w:tcPr>
          <w:p>
            <w:pPr>
              <w:pStyle w:val="TableText"/>
            </w:pPr>
            <w:r>
              <w:t xml:space="preserve">Several customers report the same problem within an hour</w:t>
            </w:r>
          </w:p>
        </w:tc>
        <w:tc>
          <w:tcPr>
            <w:tcW w:w="4637" w:type="dxa"/>
          </w:tcPr>
          <w:p>
            <w:pPr>
              <w:pStyle w:val="TableText"/>
            </w:pPr>
            <w:r>
              <w:t xml:space="preserve">Link every ticket to one bug and tell the team lead, who decides whether to open an incident.</w:t>
            </w:r>
          </w:p>
        </w:tc>
        <w:tc>
          <w:tcPr>
            <w:tcW w:w="2217" w:type="dxa"/>
          </w:tcPr>
          <w:p>
            <w:pPr>
              <w:pStyle w:val="TableText"/>
            </w:pPr>
            <w:r>
              <w:t xml:space="preserve">Support team lead</w:t>
            </w:r>
          </w:p>
        </w:tc>
      </w:tr>
    </w:tbl>
    <w:p>
      <w:pPr>
        <w:pStyle w:val="Heading1"/>
      </w:pPr>
      <w:r>
        <w:t xml:space="preserve">7. Done when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Final check:</w:t>
      </w:r>
      <w:r>
        <w:t xml:space="preserve"> the bug has steps to reproduce, an expected and an actual result, evidence and a severity.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Record:</w:t>
      </w:r>
      <w:r>
        <w:t xml:space="preserve"> the ticket is linked to the bug, tagged bug-escalated and set to Pending.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Hand off to:</w:t>
      </w:r>
      <w:r>
        <w:t xml:space="preserve"> engineering triage, through the bug tracker. Support keeps the ticket and tells the customer when the bug's status changes.</w:t>
      </w:r>
    </w:p>
    <w:p>
      <w:pPr>
        <w:pStyle w:val="Heading1"/>
      </w:pPr>
      <w:r>
        <w:t xml:space="preserve">8. Revision history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1210"/>
        <w:gridCol w:w="1714"/>
        <w:gridCol w:w="4939"/>
        <w:gridCol w:w="2217"/>
      </w:tblGrid>
      <w:tr>
        <w:trPr>
          <w:tblHeader/>
        </w:trPr>
        <w:tc>
          <w:tcPr>
            <w:tcW w:w="1210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Version</w:t>
            </w:r>
          </w:p>
        </w:tc>
        <w:tc>
          <w:tcPr>
            <w:tcW w:w="1714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Date</w:t>
            </w:r>
          </w:p>
        </w:tc>
        <w:tc>
          <w:tcPr>
            <w:tcW w:w="4939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What changed</w:t>
            </w:r>
          </w:p>
        </w:tc>
        <w:tc>
          <w:tcPr>
            <w:tcW w:w="2217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Changed by</w:t>
            </w:r>
          </w:p>
        </w:tc>
      </w:tr>
      <w:tr>
        <w:trPr>
          <w:trHeight w:val="400" w:hRule="atLeast"/>
        </w:trPr>
        <w:tc>
          <w:tcPr>
            <w:tcW w:w="1210" w:type="dxa"/>
          </w:tcPr>
          <w:p>
            <w:pPr>
              <w:pStyle w:val="TableText"/>
            </w:pPr>
            <w:r>
              <w:t xml:space="preserve">1.0</w:t>
            </w:r>
          </w:p>
        </w:tc>
        <w:tc>
          <w:tcPr>
            <w:tcW w:w="1714" w:type="dxa"/>
          </w:tcPr>
          <w:p>
            <w:pPr>
              <w:pStyle w:val="TableText"/>
            </w:pPr>
            <w:r>
              <w:t xml:space="preserve">2026-03-02</w:t>
            </w:r>
          </w:p>
        </w:tc>
        <w:tc>
          <w:tcPr>
            <w:tcW w:w="4939" w:type="dxa"/>
          </w:tcPr>
          <w:p>
            <w:pPr>
              <w:pStyle w:val="TableText"/>
            </w:pPr>
            <w:r>
              <w:t xml:space="preserve">First version</w:t>
            </w:r>
          </w:p>
        </w:tc>
        <w:tc>
          <w:tcPr>
            <w:tcW w:w="2217" w:type="dxa"/>
          </w:tcPr>
          <w:p>
            <w:pPr>
              <w:pStyle w:val="TableText"/>
            </w:pPr>
            <w:r>
              <w:t xml:space="preserve">Support team lead</w:t>
            </w:r>
          </w:p>
        </w:tc>
      </w:tr>
      <w:tr>
        <w:trPr>
          <w:trHeight w:val="400" w:hRule="atLeast"/>
        </w:trPr>
        <w:tc>
          <w:tcPr>
            <w:tcW w:w="1210" w:type="dxa"/>
          </w:tcPr>
          <w:p>
            <w:pPr>
              <w:pStyle w:val="TableText"/>
            </w:pPr>
            <w:r>
              <w:t xml:space="preserve">1.1</w:t>
            </w:r>
          </w:p>
        </w:tc>
        <w:tc>
          <w:tcPr>
            <w:tcW w:w="1714" w:type="dxa"/>
          </w:tcPr>
          <w:p>
            <w:pPr>
              <w:pStyle w:val="TableText"/>
            </w:pPr>
            <w:r>
              <w:t xml:space="preserve">2026-06-15</w:t>
            </w:r>
          </w:p>
        </w:tc>
        <w:tc>
          <w:tcPr>
            <w:tcW w:w="4939" w:type="dxa"/>
          </w:tcPr>
          <w:p>
            <w:pPr>
              <w:pStyle w:val="TableText"/>
            </w:pPr>
            <w:r>
              <w:t xml:space="preserve">Added step 2, searching for an existing bug, so duplicates stop reaching engineering</w:t>
            </w:r>
          </w:p>
        </w:tc>
        <w:tc>
          <w:tcPr>
            <w:tcW w:w="2217" w:type="dxa"/>
          </w:tcPr>
          <w:p>
            <w:pPr>
              <w:pStyle w:val="TableText"/>
            </w:pPr>
            <w:r>
              <w:t xml:space="preserve">Support team lead</w:t>
            </w:r>
          </w:p>
        </w:tc>
      </w:tr>
    </w:tbl>
    <w:p>
      <w:pPr>
        <w:pStyle w:val="EndNote"/>
      </w:pPr>
      <w:r>
        <w:t xml:space="preserve">Free work instruction template from stepvideo.io/blog/work-instruction-template. Copy it, change it and use it however you like.</w:t>
      </w:r>
    </w:p>
    <w:sectPr>
      <w:footerReference w:type="default" r:id="rId4"/>
      <w:pgSz w:w="12240" w:h="15840"/>
      <w:pgMar w:top="1080" w:right="1080" w:bottom="1080" w:left="1080" w:header="720" w:footer="54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WI-SUP-012 · Version 1.1</w:t>
    </w:r>
    <w:r>
      <w:tab/>
    </w:r>
    <w:r>
      <w:t xml:space="preserve">Page </w:t>
    </w:r>
    <w:fldSimple w:instr=" PAGE ">
      <w:r>
        <w:t>1</w:t>
      </w:r>
    </w:fldSimple>
    <w:r>
      <w:t xml:space="preserve"> of </w:t>
    </w:r>
    <w:fldSimple w:instr=" NUMPAGES ">
      <w: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color w:val="1F1D2B"/>
        <w:sz w:val="21"/>
        <w:szCs w:val="21"/>
        <w:lang w:val="en-US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  <w:rPr>
      <w:rFonts w:ascii="Calibri" w:hAnsi="Calibri" w:eastAsia="Calibri" w:cs="Calibri"/>
    </w:rPr>
  </w:style>
  <w:style w:type="paragraph" w:styleId="Title">
    <w:name w:val="Title"/>
    <w:basedOn w:val="Normal"/>
    <w:next w:val="Normal"/>
    <w:qFormat/>
    <w:pPr>
      <w:spacing w:after="40"/>
    </w:pPr>
    <w:rPr>
      <w:b/>
      <w:color w:val="4A3BC9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00"/>
    </w:pPr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keepLines/>
      <w:spacing w:before="320" w:after="80"/>
      <w:outlineLvl w:val="0"/>
    </w:pPr>
    <w:rPr>
      <w:b/>
      <w:color w:val="4A3BC9"/>
      <w:sz w:val="26"/>
      <w:szCs w:val="26"/>
    </w:rPr>
  </w:style>
  <w:style w:type="paragraph" w:styleId="Guidance">
    <w:name w:val="Guidance"/>
    <w:basedOn w:val="Normal"/>
    <w:next w:val="Normal"/>
    <w:qFormat/>
    <w:pPr>
      <w:keepNext/>
      <w:spacing w:after="120"/>
    </w:pPr>
    <w:rPr>
      <w:i/>
      <w:color w:val="6E6A86"/>
      <w:sz w:val="19"/>
      <w:szCs w:val="19"/>
    </w:rPr>
  </w:style>
  <w:style w:type="paragraph" w:styleId="Banner">
    <w:name w:val="Example banner"/>
    <w:basedOn w:val="Normal"/>
    <w:next w:val="Normal"/>
    <w:qFormat/>
    <w:pPr>
      <w:shd w:val="clear" w:color="auto" w:fill="FFF6DB"/>
      <w:spacing w:before="60" w:after="200"/>
    </w:pPr>
    <w:rPr>
      <w:sz w:val="19"/>
      <w:szCs w:val="19"/>
    </w:rPr>
  </w:style>
  <w:style w:type="paragraph" w:styleId="ListBullet">
    <w:name w:val="List Bullet"/>
    <w:basedOn w:val="Normal"/>
    <w:next w:val="Normal"/>
    <w:qFormat/>
    <w:pPr>
      <w:spacing w:after="60"/>
      <w:ind w:left="360" w:hanging="360"/>
    </w:pPr>
    <w:rPr/>
  </w:style>
  <w:style w:type="paragraph" w:styleId="TableText">
    <w:name w:val="Table text"/>
    <w:basedOn w:val="Normal"/>
    <w:next w:val="Normal"/>
    <w:qFormat/>
    <w:pPr>
      <w:spacing w:before="20" w:after="20" w:line="252" w:lineRule="auto"/>
    </w:pPr>
    <w:rPr>
      <w:sz w:val="19"/>
      <w:szCs w:val="19"/>
    </w:rPr>
  </w:style>
  <w:style w:type="paragraph" w:styleId="EndNote">
    <w:name w:val="Template note"/>
    <w:basedOn w:val="Normal"/>
    <w:next w:val="Normal"/>
    <w:qFormat/>
    <w:pPr>
      <w:spacing w:before="480"/>
    </w:pPr>
    <w:rPr>
      <w:color w:val="6E6A86"/>
      <w:sz w:val="16"/>
      <w:szCs w:val="16"/>
    </w:rPr>
  </w:style>
  <w:style w:type="paragraph" w:styleId="Footer">
    <w:name w:val="footer"/>
    <w:basedOn w:val="Normal"/>
    <w:next w:val="Normal"/>
    <w:qFormat/>
    <w:pPr>
      <w:spacing w:after="0"/>
    </w:pPr>
    <w:rPr>
      <w:color w:val="6E6A86"/>
      <w:sz w:val="16"/>
      <w:szCs w:val="16"/>
    </w:rPr>
  </w:style>
  <w:style w:type="table" w:styleId="SopTable">
    <w:name w:val="SOP table"/>
    <w:tblPr>
      <w:tblBorders>
        <w:top w:val="single" w:sz="4" w:space="0" w:color="C9C5EA"/>
        <w:left w:val="single" w:sz="4" w:space="0" w:color="C9C5EA"/>
        <w:bottom w:val="single" w:sz="4" w:space="0" w:color="C9C5EA"/>
        <w:right w:val="single" w:sz="4" w:space="0" w:color="C9C5EA"/>
        <w:insideH w:val="single" w:sz="4" w:space="0" w:color="C9C5EA"/>
        <w:insideV w:val="single" w:sz="4" w:space="0" w:color="C9C5EA"/>
      </w:tblBorders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Work instruction example: escalate a customer bug report</dc:title>
  <dc:creator>stepvideo.io</dc:creator>
</cp:coreProperties>
</file>